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14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Тереңдетілген талдау негізінде кәсіпорынның қаржылық жағдайын бағалау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Жедел талдауда анықталған мәселе бойынша зерттеу бағдарламасын құрып, себепті тексеру және өлшенетін басқарушылық ұсыныс дайындау.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Тереңдетілген талдау қашан қажет; Талдау бағдарламасын құру; Себепті дерекпен тексеру; Ақша болжамын жасау мысалы; Сценарий мен сезімталдық; Ұсыным мен кейінгі бақылау.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Тереңдетілген талдау қашан қажет</w:t>
      </w:r>
    </w:p>
    <w:p>
      <w:pPr>
        <w:ind w:firstLine="709"/>
        <w:jc w:val="both"/>
        <w:rPr>
          <w:szCs w:val="24"/>
        </w:rPr>
      </w:pPr>
      <w:r>
        <w:rPr>
          <w:rFonts w:ascii="Times New Roman" w:hAnsi="Times New Roman" w:cs="Times New Roman" w:eastAsia="Times New Roman"/>
          <w:sz w:val="24"/>
          <w:szCs w:val="24"/>
        </w:rPr>
        <w:t>Тереңдетілген талдау маңызды ауытқудың құрамын, себептерін және ықтимал салдарын ашады. Ол барлық коэффициентті қайта есептеу емес. Егер негізгі мәселе сатып алушылардың төлемі болса, зерттеу берешектің жасы, клиент шоғырлануы, шарттар және ақша болжамына бағытталады.</w:t>
      </w:r>
    </w:p>
    <w:p>
      <w:pPr>
        <w:ind w:firstLine="709"/>
        <w:jc w:val="both"/>
        <w:rPr>
          <w:szCs w:val="24"/>
        </w:rPr>
      </w:pPr>
      <w:r>
        <w:rPr>
          <w:rFonts w:ascii="Times New Roman" w:hAnsi="Times New Roman" w:cs="Times New Roman" w:eastAsia="Times New Roman"/>
          <w:sz w:val="24"/>
          <w:szCs w:val="24"/>
        </w:rPr>
        <w:t>Қаржылық жағдайды өтімділік, тұрақтылық, табыстылық және айналымдылық бойынша бірге бағалаймыз. Бұл бағыттар өзара байланысты: сатуды қарызға ұлғайту пайданы өсіріп, бірақ ақшаны азайтуы мүмкін; ұзақ мерзімді жабдықты қысқа несиеге алу жақын төлем тәуекелін күшейтеді.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Талдау бағдарламасын құру</w:t>
      </w:r>
    </w:p>
    <w:p>
      <w:pPr>
        <w:ind w:firstLine="709"/>
        <w:jc w:val="both"/>
        <w:rPr>
          <w:szCs w:val="24"/>
        </w:rPr>
      </w:pPr>
      <w:r>
        <w:rPr>
          <w:rFonts w:ascii="Times New Roman" w:hAnsi="Times New Roman" w:cs="Times New Roman" w:eastAsia="Times New Roman"/>
          <w:sz w:val="24"/>
          <w:szCs w:val="24"/>
        </w:rPr>
        <w:t>Бағдарлама мәселені, жорамал себепті, қажет деректі, әдісті, жауапты тұлғаны және нәтижені қамтиды. Мәселе өлшенетін түрде жазылады. «Ақша жетіспейді» дегеннің орнына «келесі төрт аптадағы төлемдер түсімнен 110 мың теңгеге артық» деген тұжырым нақтырақ.</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219"/>
        <w:gridCol w:w="2083"/>
        <w:gridCol w:w="2083"/>
        <w:gridCol w:w="2083"/>
      </w:tblGrid>
      <w:tr>
        <w:trPr>
          <w:tblHeader/>
          <w:cantSplit/>
        </w:trPr>
        <w:tc>
          <w:tcPr>
            <w:tcW w:type="dxa" w:w="3219"/>
            <w:vAlign w:val="center"/>
            <w:shd w:fill="E9EEF4"/>
          </w:tcPr>
          <w:p>
            <w:pPr>
              <w:spacing w:line="252" w:lineRule="auto" w:after="20"/>
            </w:pPr>
            <w:r>
              <w:rPr>
                <w:rFonts w:ascii="Times New Roman" w:hAnsi="Times New Roman" w:cs="Times New Roman" w:eastAsia="Times New Roman"/>
                <w:b/>
                <w:sz w:val="24"/>
                <w:szCs w:val="24"/>
              </w:rPr>
              <w:t>Бағыт</w:t>
            </w:r>
          </w:p>
        </w:tc>
        <w:tc>
          <w:tcPr>
            <w:tcW w:type="dxa" w:w="2083"/>
            <w:vAlign w:val="center"/>
            <w:shd w:fill="E9EEF4"/>
          </w:tcPr>
          <w:p>
            <w:pPr>
              <w:spacing w:line="252" w:lineRule="auto" w:after="20"/>
            </w:pPr>
            <w:r>
              <w:rPr>
                <w:rFonts w:ascii="Times New Roman" w:hAnsi="Times New Roman" w:cs="Times New Roman" w:eastAsia="Times New Roman"/>
                <w:b/>
                <w:sz w:val="24"/>
                <w:szCs w:val="24"/>
              </w:rPr>
              <w:t>Тексерілетін дерек</w:t>
            </w:r>
          </w:p>
        </w:tc>
        <w:tc>
          <w:tcPr>
            <w:tcW w:type="dxa" w:w="2083"/>
            <w:vAlign w:val="center"/>
            <w:shd w:fill="E9EEF4"/>
          </w:tcPr>
          <w:p>
            <w:pPr>
              <w:spacing w:line="252" w:lineRule="auto" w:after="20"/>
            </w:pPr>
            <w:r>
              <w:rPr>
                <w:rFonts w:ascii="Times New Roman" w:hAnsi="Times New Roman" w:cs="Times New Roman" w:eastAsia="Times New Roman"/>
                <w:b/>
                <w:sz w:val="24"/>
                <w:szCs w:val="24"/>
              </w:rPr>
              <w:t>Негізгі әдіс</w:t>
            </w:r>
          </w:p>
        </w:tc>
        <w:tc>
          <w:tcPr>
            <w:tcW w:type="dxa" w:w="2083"/>
            <w:vAlign w:val="center"/>
            <w:shd w:fill="E9EEF4"/>
          </w:tcPr>
          <w:p>
            <w:pPr>
              <w:spacing w:line="252" w:lineRule="auto" w:after="20"/>
            </w:pPr>
            <w:r>
              <w:rPr>
                <w:rFonts w:ascii="Times New Roman" w:hAnsi="Times New Roman" w:cs="Times New Roman" w:eastAsia="Times New Roman"/>
                <w:b/>
                <w:sz w:val="24"/>
                <w:szCs w:val="24"/>
              </w:rPr>
              <w:t>Нәтиже</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Берешек</w:t>
            </w:r>
          </w:p>
        </w:tc>
        <w:tc>
          <w:tcPr>
            <w:tcW w:type="dxa" w:w="2083"/>
            <w:vAlign w:val="center"/>
          </w:tcPr>
          <w:p>
            <w:pPr>
              <w:spacing w:line="252" w:lineRule="auto" w:after="20"/>
            </w:pPr>
            <w:r>
              <w:rPr>
                <w:rFonts w:ascii="Times New Roman" w:hAnsi="Times New Roman" w:cs="Times New Roman" w:eastAsia="Times New Roman"/>
                <w:sz w:val="24"/>
                <w:szCs w:val="24"/>
              </w:rPr>
              <w:t>Мерзімдік кесте, клиенттер, шарттар</w:t>
            </w:r>
          </w:p>
        </w:tc>
        <w:tc>
          <w:tcPr>
            <w:tcW w:type="dxa" w:w="2083"/>
            <w:vAlign w:val="center"/>
          </w:tcPr>
          <w:p>
            <w:pPr>
              <w:spacing w:line="252" w:lineRule="auto" w:after="20"/>
            </w:pPr>
            <w:r>
              <w:rPr>
                <w:rFonts w:ascii="Times New Roman" w:hAnsi="Times New Roman" w:cs="Times New Roman" w:eastAsia="Times New Roman"/>
                <w:sz w:val="24"/>
                <w:szCs w:val="24"/>
              </w:rPr>
              <w:t>Жас топтары, шоғырлану</w:t>
            </w:r>
          </w:p>
        </w:tc>
        <w:tc>
          <w:tcPr>
            <w:tcW w:type="dxa" w:w="2083"/>
            <w:vAlign w:val="center"/>
          </w:tcPr>
          <w:p>
            <w:pPr>
              <w:spacing w:line="252" w:lineRule="auto" w:after="20"/>
            </w:pPr>
            <w:r>
              <w:rPr>
                <w:rFonts w:ascii="Times New Roman" w:hAnsi="Times New Roman" w:cs="Times New Roman" w:eastAsia="Times New Roman"/>
                <w:sz w:val="24"/>
                <w:szCs w:val="24"/>
              </w:rPr>
              <w:t>Өндірілу тәуекелі</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Қор</w:t>
            </w:r>
          </w:p>
        </w:tc>
        <w:tc>
          <w:tcPr>
            <w:tcW w:type="dxa" w:w="2083"/>
            <w:vAlign w:val="center"/>
          </w:tcPr>
          <w:p>
            <w:pPr>
              <w:spacing w:line="252" w:lineRule="auto" w:after="20"/>
            </w:pPr>
            <w:r>
              <w:rPr>
                <w:rFonts w:ascii="Times New Roman" w:hAnsi="Times New Roman" w:cs="Times New Roman" w:eastAsia="Times New Roman"/>
                <w:sz w:val="24"/>
                <w:szCs w:val="24"/>
              </w:rPr>
              <w:t>Түрі, сақтау мерзімі, өткізу бағасы</w:t>
            </w:r>
          </w:p>
        </w:tc>
        <w:tc>
          <w:tcPr>
            <w:tcW w:type="dxa" w:w="2083"/>
            <w:vAlign w:val="center"/>
          </w:tcPr>
          <w:p>
            <w:pPr>
              <w:spacing w:line="252" w:lineRule="auto" w:after="20"/>
            </w:pPr>
            <w:r>
              <w:rPr>
                <w:rFonts w:ascii="Times New Roman" w:hAnsi="Times New Roman" w:cs="Times New Roman" w:eastAsia="Times New Roman"/>
                <w:sz w:val="24"/>
                <w:szCs w:val="24"/>
              </w:rPr>
              <w:t>Айналым, баяу қорды анықтау</w:t>
            </w:r>
          </w:p>
        </w:tc>
        <w:tc>
          <w:tcPr>
            <w:tcW w:type="dxa" w:w="2083"/>
            <w:vAlign w:val="center"/>
          </w:tcPr>
          <w:p>
            <w:pPr>
              <w:spacing w:line="252" w:lineRule="auto" w:after="20"/>
            </w:pPr>
            <w:r>
              <w:rPr>
                <w:rFonts w:ascii="Times New Roman" w:hAnsi="Times New Roman" w:cs="Times New Roman" w:eastAsia="Times New Roman"/>
                <w:sz w:val="24"/>
                <w:szCs w:val="24"/>
              </w:rPr>
              <w:t>Артық қор сомасы</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Қарыз</w:t>
            </w:r>
          </w:p>
        </w:tc>
        <w:tc>
          <w:tcPr>
            <w:tcW w:type="dxa" w:w="2083"/>
            <w:vAlign w:val="center"/>
          </w:tcPr>
          <w:p>
            <w:pPr>
              <w:spacing w:line="252" w:lineRule="auto" w:after="20"/>
            </w:pPr>
            <w:r>
              <w:rPr>
                <w:rFonts w:ascii="Times New Roman" w:hAnsi="Times New Roman" w:cs="Times New Roman" w:eastAsia="Times New Roman"/>
                <w:sz w:val="24"/>
                <w:szCs w:val="24"/>
              </w:rPr>
              <w:t>Өтеу күндері, валюта, пайыз</w:t>
            </w:r>
          </w:p>
        </w:tc>
        <w:tc>
          <w:tcPr>
            <w:tcW w:type="dxa" w:w="2083"/>
            <w:vAlign w:val="center"/>
          </w:tcPr>
          <w:p>
            <w:pPr>
              <w:spacing w:line="252" w:lineRule="auto" w:after="20"/>
            </w:pPr>
            <w:r>
              <w:rPr>
                <w:rFonts w:ascii="Times New Roman" w:hAnsi="Times New Roman" w:cs="Times New Roman" w:eastAsia="Times New Roman"/>
                <w:sz w:val="24"/>
                <w:szCs w:val="24"/>
              </w:rPr>
              <w:t>Төлем кестесі, стресс-сценарий</w:t>
            </w:r>
          </w:p>
        </w:tc>
        <w:tc>
          <w:tcPr>
            <w:tcW w:type="dxa" w:w="2083"/>
            <w:vAlign w:val="center"/>
          </w:tcPr>
          <w:p>
            <w:pPr>
              <w:spacing w:line="252" w:lineRule="auto" w:after="20"/>
            </w:pPr>
            <w:r>
              <w:rPr>
                <w:rFonts w:ascii="Times New Roman" w:hAnsi="Times New Roman" w:cs="Times New Roman" w:eastAsia="Times New Roman"/>
                <w:sz w:val="24"/>
                <w:szCs w:val="24"/>
              </w:rPr>
              <w:t>Қаржыландыру алшақтығы</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Пайда</w:t>
            </w:r>
          </w:p>
        </w:tc>
        <w:tc>
          <w:tcPr>
            <w:tcW w:type="dxa" w:w="2083"/>
            <w:vAlign w:val="center"/>
          </w:tcPr>
          <w:p>
            <w:pPr>
              <w:spacing w:line="252" w:lineRule="auto" w:after="20"/>
            </w:pPr>
            <w:r>
              <w:rPr>
                <w:rFonts w:ascii="Times New Roman" w:hAnsi="Times New Roman" w:cs="Times New Roman" w:eastAsia="Times New Roman"/>
                <w:sz w:val="24"/>
                <w:szCs w:val="24"/>
              </w:rPr>
              <w:t>Өнім мен клиент бойынша маржа</w:t>
            </w:r>
          </w:p>
        </w:tc>
        <w:tc>
          <w:tcPr>
            <w:tcW w:type="dxa" w:w="2083"/>
            <w:vAlign w:val="center"/>
          </w:tcPr>
          <w:p>
            <w:pPr>
              <w:spacing w:line="252" w:lineRule="auto" w:after="20"/>
            </w:pPr>
            <w:r>
              <w:rPr>
                <w:rFonts w:ascii="Times New Roman" w:hAnsi="Times New Roman" w:cs="Times New Roman" w:eastAsia="Times New Roman"/>
                <w:sz w:val="24"/>
                <w:szCs w:val="24"/>
              </w:rPr>
              <w:t>Факторлық және сегменттік талдау</w:t>
            </w:r>
          </w:p>
        </w:tc>
        <w:tc>
          <w:tcPr>
            <w:tcW w:type="dxa" w:w="2083"/>
            <w:vAlign w:val="center"/>
          </w:tcPr>
          <w:p>
            <w:pPr>
              <w:spacing w:line="252" w:lineRule="auto" w:after="20"/>
            </w:pPr>
            <w:r>
              <w:rPr>
                <w:rFonts w:ascii="Times New Roman" w:hAnsi="Times New Roman" w:cs="Times New Roman" w:eastAsia="Times New Roman"/>
                <w:sz w:val="24"/>
                <w:szCs w:val="24"/>
              </w:rPr>
              <w:t>Маржа өзгерісінің себебі</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Бағдарламадағы әр әдіс шешімге қызмет етуі тиіс. Қажет емес ондаған коэффициент есептеу негізгі мәселені көлегейлеп, жұмыс уақытын ұзартады.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Себепті дерекпен тексеру</w:t>
      </w:r>
    </w:p>
    <w:p>
      <w:pPr>
        <w:ind w:firstLine="709"/>
        <w:jc w:val="both"/>
        <w:rPr>
          <w:szCs w:val="24"/>
        </w:rPr>
      </w:pPr>
      <w:r>
        <w:rPr>
          <w:rFonts w:ascii="Times New Roman" w:hAnsi="Times New Roman" w:cs="Times New Roman" w:eastAsia="Times New Roman"/>
          <w:sz w:val="24"/>
          <w:szCs w:val="24"/>
        </w:rPr>
        <w:t>«АрнаӨндіріс» дебиторлық берешегі 300-ден 400-ге өсті. Алдымен жыл соңындағы сатудың көлемі мен төлем шартын қараймыз. Кейін берешекті мерзімі өтпеген, 1–30, 31–60, 61–90 және 90 күннен артық кешіккен топтарға бөлуге болады. Нақты топтар шарт пен ұйым тәжірибесіне сай таңдалады.</w:t>
      </w:r>
    </w:p>
    <w:p>
      <w:pPr>
        <w:ind w:firstLine="709"/>
        <w:jc w:val="both"/>
        <w:rPr>
          <w:szCs w:val="24"/>
        </w:rPr>
      </w:pPr>
      <w:r>
        <w:rPr>
          <w:rFonts w:ascii="Times New Roman" w:hAnsi="Times New Roman" w:cs="Times New Roman" w:eastAsia="Times New Roman"/>
          <w:sz w:val="24"/>
          <w:szCs w:val="24"/>
        </w:rPr>
        <w:t>Егер 100 мың теңге өсімнің 80-і бір сенімді клиенттің желтоқсандағы ірі тапсырысына қатысты болса, себеп бір басқа. Егер өсімнің 80-і бұрыннан кешіккен ұсақ берешек болса, тәуекел басқа. Жиынтық сомалары бірдей болғанымен, шешім әртүрлі: бірінші жағдайда ақша мерзімін жоспарлау, екінші жағдайда өндіру мен залалды бағалау күшейтіледі.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Ақша болжамын жасау мысалы</w:t>
      </w:r>
    </w:p>
    <w:p>
      <w:pPr>
        <w:ind w:firstLine="709"/>
        <w:jc w:val="both"/>
        <w:rPr>
          <w:szCs w:val="24"/>
        </w:rPr>
      </w:pPr>
      <w:r>
        <w:rPr>
          <w:rFonts w:ascii="Times New Roman" w:hAnsi="Times New Roman" w:cs="Times New Roman" w:eastAsia="Times New Roman"/>
          <w:sz w:val="24"/>
          <w:szCs w:val="24"/>
        </w:rPr>
        <w:t>Алдағы айдың басында ақша 240 мың теңге. Күтілетін түсім 150, міндетті төлем 500. Қосымша қаржыландырусыз болжамды қалдық −110 болады. Теріс қалдық нақты банктік ақша емес, қаржыландыру қажеттілігінің есептік белгісі.</w:t>
      </w:r>
    </w:p>
    <w:p>
      <w:pPr>
        <w:ind w:firstLine="709"/>
        <w:jc w:val="both"/>
        <w:rPr>
          <w:szCs w:val="24"/>
        </w:rPr>
      </w:pPr>
      <m:oMath>
        <m:r>
          <m:rPr>
            <m:nor/>
          </m:rPr>
          <w:rPr>
            <w:rFonts w:ascii="Times New Roman" w:hAnsi="Times New Roman"/>
            <w:sz w:val="22"/>
          </w:rPr>
          <m:t xml:space="preserve">Болжамды қалдық = 240 + 150 − 500 = −110</m:t>
        </m:r>
      </m:oMath>
    </w:p>
    <w:p>
      <w:pPr>
        <w:ind w:firstLine="709"/>
        <w:jc w:val="both"/>
        <w:rPr>
          <w:szCs w:val="24"/>
        </w:rPr>
      </w:pPr>
      <w:r>
        <w:rPr>
          <w:rFonts w:ascii="Times New Roman" w:hAnsi="Times New Roman" w:cs="Times New Roman" w:eastAsia="Times New Roman"/>
          <w:sz w:val="24"/>
          <w:szCs w:val="24"/>
        </w:rPr>
        <w:t>Шешімдерге түсімді жеделдету, міндетті емес сатып алуды кейінге қалдыру, жеткізушімен төлем мерзімін келісу немесе қолжетімді қаржыландыруды пайдалану кіруі мүмкін. Әр нұсқаның құны мен шектеуі қаралады. Төлемді жай ғана төлемей қою тұрақты қаржылық шешім болып саналмайды.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Сценарий мен сезімталдық</w:t>
      </w:r>
    </w:p>
    <w:p>
      <w:pPr>
        <w:ind w:firstLine="709"/>
        <w:jc w:val="both"/>
        <w:rPr>
          <w:szCs w:val="24"/>
        </w:rPr>
      </w:pPr>
      <w:r>
        <w:rPr>
          <w:rFonts w:ascii="Times New Roman" w:hAnsi="Times New Roman" w:cs="Times New Roman" w:eastAsia="Times New Roman"/>
          <w:sz w:val="24"/>
          <w:szCs w:val="24"/>
        </w:rPr>
        <w:t>Базалық сценарий ең негізделген болжамды көрсетеді. Қолайсыз сценарийде ақша түсімінің кешігуі, баға немесе шығын өзгерісі қаралады. Мысалы, жоспарланған 150 түсімнің 40-ы келесі айға қалса, осы айдағы тапшылық 150-ге өседі. Бұл жағдайда жылдық сатудың сомасы өзгермесе де, төлем тәуекелі күшейеді.</w:t>
      </w:r>
    </w:p>
    <w:p>
      <w:pPr>
        <w:ind w:firstLine="709"/>
        <w:jc w:val="both"/>
        <w:rPr>
          <w:szCs w:val="24"/>
        </w:rPr>
      </w:pPr>
      <w:r>
        <w:rPr>
          <w:rFonts w:ascii="Times New Roman" w:hAnsi="Times New Roman" w:cs="Times New Roman" w:eastAsia="Times New Roman"/>
          <w:sz w:val="24"/>
          <w:szCs w:val="24"/>
        </w:rPr>
        <w:t>Сезімталдық бір факторды өзгерткендегі нәтижені, сценарий бірнеше фактордың бірлескен өзгерісін көрсетеді. Нәтижені «міндетті түрде осылай болады» деп емес, белгіленген шарттар орындалғандағы есеп ретінде түсіндіреміз.</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Ұсыным мен кейінгі бақылау</w:t>
      </w:r>
    </w:p>
    <w:p>
      <w:pPr>
        <w:ind w:firstLine="709"/>
        <w:jc w:val="both"/>
        <w:rPr>
          <w:szCs w:val="24"/>
        </w:rPr>
      </w:pPr>
      <w:r>
        <w:rPr>
          <w:rFonts w:ascii="Times New Roman" w:hAnsi="Times New Roman" w:cs="Times New Roman" w:eastAsia="Times New Roman"/>
          <w:sz w:val="24"/>
          <w:szCs w:val="24"/>
        </w:rPr>
        <w:t>Ұсыным нақты себепке бағытталады. Мысалы, «берешекті азайту» дегеннің орнына «сату бөлімі 30 күн ішінде мерзімі өткен ең ірі бес берешек бойынша төлем кестесін келіседі; қаржы бөлімі апталық түсімді бақылайды» деп жазуға болады. Мақсат көрсеткіштері ұйымның нақты мүмкіндігіне қарай бекітіледі.</w:t>
      </w:r>
    </w:p>
    <w:p>
      <w:pPr>
        <w:ind w:firstLine="709"/>
        <w:jc w:val="both"/>
        <w:rPr>
          <w:szCs w:val="24"/>
        </w:rPr>
      </w:pPr>
      <w:r>
        <w:rPr>
          <w:rFonts w:ascii="Times New Roman" w:hAnsi="Times New Roman" w:cs="Times New Roman" w:eastAsia="Times New Roman"/>
          <w:sz w:val="24"/>
          <w:szCs w:val="24"/>
        </w:rPr>
        <w:t>Қорытындыда расталған факт, ықтимал себеп, есептелген әсер, ұсынылған әрекет және шектеу көрсетіледі. Қосымша дерекпен расталмаған тұжырым жорамал ретінде қалады. Шара орындалғаннан кейін нақты түсім мен болжам салыстырылып, жоспар жаңартылады.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Бағдарламаны тек коэффициент атауларынан құру.</w:t>
      </w:r>
    </w:p>
    <w:p>
      <w:pPr>
        <w:pStyle w:val="a0"/>
        <w:tabs>
          <w:tab w:val="left" w:pos="1134"/>
        </w:tabs>
        <w:ind w:firstLine="491"/>
        <w:jc w:val="both"/>
        <w:rPr>
          <w:szCs w:val="24"/>
        </w:rPr>
      </w:pPr>
      <w:r>
        <w:rPr>
          <w:rFonts w:ascii="Times New Roman" w:hAnsi="Times New Roman" w:cs="Times New Roman" w:eastAsia="Times New Roman"/>
          <w:sz w:val="24"/>
          <w:szCs w:val="24"/>
        </w:rPr>
        <w:t>Жиынтық соманы оның құрамын тексермей түсіндіру.</w:t>
      </w:r>
    </w:p>
    <w:p>
      <w:pPr>
        <w:pStyle w:val="a0"/>
        <w:tabs>
          <w:tab w:val="left" w:pos="1134"/>
        </w:tabs>
        <w:ind w:firstLine="491"/>
        <w:jc w:val="both"/>
        <w:rPr>
          <w:szCs w:val="24"/>
        </w:rPr>
      </w:pPr>
      <w:r>
        <w:rPr>
          <w:rFonts w:ascii="Times New Roman" w:hAnsi="Times New Roman" w:cs="Times New Roman" w:eastAsia="Times New Roman"/>
          <w:sz w:val="24"/>
          <w:szCs w:val="24"/>
        </w:rPr>
        <w:t>Ақша жоспарына расталмаған түсімді толық енгізу.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Тереңдетілген талдау жедел талдаудан несімен ерекшеленеді?</w:t>
      </w:r>
    </w:p>
    <w:p>
      <w:pPr>
        <w:spacing w:after="80"/>
        <w:ind w:left="170" w:firstLine="709"/>
        <w:jc w:val="both"/>
        <w:rPr>
          <w:szCs w:val="24"/>
        </w:rPr>
      </w:pPr>
      <w:r>
        <w:rPr>
          <w:rFonts w:ascii="Times New Roman" w:hAnsi="Times New Roman" w:cs="Times New Roman" w:eastAsia="Times New Roman"/>
          <w:sz w:val="24"/>
          <w:szCs w:val="24"/>
        </w:rPr>
        <w:t>2. Берешектің жас кестесі қандай ақпарат береді?</w:t>
      </w:r>
    </w:p>
    <w:p>
      <w:pPr>
        <w:spacing w:after="80"/>
        <w:ind w:left="170" w:firstLine="709"/>
        <w:jc w:val="both"/>
        <w:rPr>
          <w:szCs w:val="24"/>
        </w:rPr>
      </w:pPr>
      <w:r>
        <w:rPr>
          <w:rFonts w:ascii="Times New Roman" w:hAnsi="Times New Roman" w:cs="Times New Roman" w:eastAsia="Times New Roman"/>
          <w:sz w:val="24"/>
          <w:szCs w:val="24"/>
        </w:rPr>
        <w:t>3. Сценарий мен сезімталдықтың айырмасы қандай?</w:t>
      </w:r>
    </w:p>
    <w:p>
      <w:pPr>
        <w:spacing w:after="80"/>
        <w:ind w:left="170" w:firstLine="709"/>
        <w:jc w:val="both"/>
        <w:rPr>
          <w:szCs w:val="24"/>
        </w:rPr>
      </w:pPr>
      <w:r>
        <w:rPr>
          <w:rFonts w:ascii="Times New Roman" w:hAnsi="Times New Roman" w:cs="Times New Roman" w:eastAsia="Times New Roman"/>
          <w:sz w:val="24"/>
          <w:szCs w:val="24"/>
        </w:rPr>
        <w:t>4. Ұсынымның орындалуын қалай тексеруге болады?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Бастапқы ақша 100, түсім 300, төлем 350 болса, жоспарлы қалдық 50. Түсім 20%-ға кемісе, ол 240 болады да, қалдық −10-ға өзгереді. Кемінде 10 мың теңге қосымша ресурс немесе төлемді өзгерту қажет.</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[Ә6] Техника финансового анализа в контексте антикризисного управления предприятием: Учебное пособие/ О.В.Куур, Р.А. Костырко. - Усть-Каменогорск, ВКГТУ, 2019. – 170 с.</w:t>
      </w:r>
    </w:p>
    <w:p>
      <w:pPr>
        <w:spacing w:after="60"/>
        <w:ind w:firstLine="709"/>
        <w:jc w:val="both"/>
        <w:rPr>
          <w:szCs w:val="24"/>
        </w:rPr>
      </w:pPr>
      <w:r>
        <w:rPr>
          <w:rFonts w:ascii="Times New Roman" w:hAnsi="Times New Roman" w:cs="Times New Roman" w:eastAsia="Times New Roman"/>
          <w:sz w:val="24"/>
          <w:szCs w:val="24"/>
        </w:rPr>
        <w:t>[Ә13] Савицкая Г.В. Анализ хозяйственной деятельности предприятия. - М.: Инфра-М, 2010. - 536 с.</w:t>
      </w:r>
    </w:p>
    <w:p>
      <w:pPr>
        <w:spacing w:after="60"/>
        <w:ind w:firstLine="709"/>
        <w:jc w:val="both"/>
        <w:rPr>
          <w:szCs w:val="24"/>
        </w:rPr>
      </w:pPr>
      <w:r>
        <w:rPr>
          <w:rFonts w:ascii="Times New Roman" w:hAnsi="Times New Roman" w:cs="Times New Roman" w:eastAsia="Times New Roman"/>
          <w:sz w:val="24"/>
          <w:szCs w:val="24"/>
        </w:rPr>
        <w:t>[Ә17] Костырко Р.А., Куур О.В. Финансовый анализ: теория и практика в контексте МСФО: Учебное пособие.- Усть-Каменогорск, ВКГТУ, 2011.- 180 с.</w:t>
      </w:r>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26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Тереңдетілген талдау негізінде кәсіпорынның қаржылық жағдайын бағалау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