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13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Қаржылық есептілікті жедел талдау</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Шектеулі уақыт ішінде ұйымның негізгі қаржылық белгілерін бағалап, тереңдетіп тексерілетін мәселелерді таңдау.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Жедел талдаудың мақсаты; Үш кезеңдік реттілік; Ең аз көрсеткіштер жиынтығы; «АрнаӨндіріс» мысалын талдау; Қысқа аналитикалық қорытынды жазу; Жедел талдаудың шегі.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Жедел талдаудың мақсаты</w:t>
      </w:r>
    </w:p>
    <w:p>
      <w:pPr>
        <w:ind w:firstLine="709"/>
        <w:jc w:val="both"/>
        <w:rPr>
          <w:szCs w:val="24"/>
        </w:rPr>
      </w:pPr>
      <w:r>
        <w:rPr>
          <w:rFonts w:ascii="Times New Roman" w:hAnsi="Times New Roman" w:cs="Times New Roman" w:eastAsia="Times New Roman"/>
          <w:sz w:val="24"/>
          <w:szCs w:val="24"/>
        </w:rPr>
        <w:t>Жедел талдау — толық зерттеуге дейінгі бастапқы диагностика. Оның міндеті ұйымды бірден «жақсы» не «жаман» деп бағалау емес, қаржылық жағдайдың жалпы көрінісін қалыптастырып, маңызды ауытқуларды табу. Дәрігердің алғашқы қарауы сияқты, ол кейін қандай тексеру қажет екенін көрсетеді.</w:t>
      </w:r>
    </w:p>
    <w:p>
      <w:pPr>
        <w:ind w:firstLine="709"/>
        <w:jc w:val="both"/>
        <w:rPr>
          <w:szCs w:val="24"/>
        </w:rPr>
      </w:pPr>
      <w:r>
        <w:rPr>
          <w:rFonts w:ascii="Times New Roman" w:hAnsi="Times New Roman" w:cs="Times New Roman" w:eastAsia="Times New Roman"/>
          <w:sz w:val="24"/>
          <w:szCs w:val="24"/>
        </w:rPr>
        <w:t>Мысалы, сату мен пайда өссе, алғашқы әсер оң болуы мүмкін. Бірақ қатарынан ақша ағыны теріс болып, қарыз мерзімі қысқарып жатса, тәуекел де ұлғаюы ықтимал. Сондықтан жедел талдау бірнеше көрсеткіш тобын қамтиды.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Үш кезеңдік реттілік</w:t>
      </w:r>
    </w:p>
    <w:p>
      <w:pPr>
        <w:ind w:firstLine="709"/>
        <w:jc w:val="both"/>
        <w:rPr>
          <w:szCs w:val="24"/>
        </w:rPr>
      </w:pPr>
      <w:r>
        <w:rPr>
          <w:rFonts w:ascii="Times New Roman" w:hAnsi="Times New Roman" w:cs="Times New Roman" w:eastAsia="Times New Roman"/>
          <w:sz w:val="24"/>
          <w:szCs w:val="24"/>
        </w:rPr>
        <w:t>Дайындық кезеңінде есептің құрамы, кезеңі, өлшем бірлігі және аудиторлық пікір қаралады. Шолу кезінде актив, міндеттеме, кіріс, пайда мен ақша өзгерісінің ірі бағыттары анықталады. Қорытынды кезеңінде аз ғана негізгі коэффициент есептеліп, проблемалық аймақтар белгіленеді.</w:t>
      </w:r>
    </w:p>
    <w:p>
      <w:pPr>
        <w:ind w:firstLine="709"/>
        <w:jc w:val="both"/>
        <w:rPr>
          <w:szCs w:val="24"/>
        </w:rPr>
      </w:pPr>
      <w:r>
        <w:rPr>
          <w:rFonts w:ascii="Times New Roman" w:hAnsi="Times New Roman" w:cs="Times New Roman" w:eastAsia="Times New Roman"/>
          <w:sz w:val="24"/>
          <w:szCs w:val="24"/>
        </w:rPr>
        <w:t>Бұл реттілік қате дерекке күрделі есептеулер жүргізуден сақтайды. Егер есептер әртүрлі ұйым шекарасын қамтыса немесе кезеңі салыстырылмаса, коэффициентті есептеу алдында осы айырма шешіледі. Жеделдік дерек сапасын елемеуді білдірмейді.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Ең аз көрсеткіштер жиынтығы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Бағыт</w:t>
            </w:r>
          </w:p>
        </w:tc>
        <w:tc>
          <w:tcPr>
            <w:tcW w:type="dxa" w:w="3219"/>
            <w:vAlign w:val="center"/>
            <w:shd w:fill="E9EEF4"/>
          </w:tcPr>
          <w:p>
            <w:pPr>
              <w:spacing w:line="252" w:lineRule="auto" w:after="20"/>
            </w:pPr>
            <w:r>
              <w:rPr>
                <w:rFonts w:ascii="Times New Roman" w:hAnsi="Times New Roman" w:cs="Times New Roman" w:eastAsia="Times New Roman"/>
                <w:b/>
                <w:sz w:val="24"/>
                <w:szCs w:val="24"/>
              </w:rPr>
              <w:t>Бастапқы көрсеткіш</w:t>
            </w:r>
          </w:p>
        </w:tc>
        <w:tc>
          <w:tcPr>
            <w:tcW w:type="dxa" w:w="3219"/>
            <w:vAlign w:val="center"/>
            <w:shd w:fill="E9EEF4"/>
          </w:tcPr>
          <w:p>
            <w:pPr>
              <w:spacing w:line="252" w:lineRule="auto" w:after="20"/>
            </w:pPr>
            <w:r>
              <w:rPr>
                <w:rFonts w:ascii="Times New Roman" w:hAnsi="Times New Roman" w:cs="Times New Roman" w:eastAsia="Times New Roman"/>
                <w:b/>
                <w:sz w:val="24"/>
                <w:szCs w:val="24"/>
              </w:rPr>
              <w:t>Қандай белгі береді</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Көлем</w:t>
            </w:r>
          </w:p>
        </w:tc>
        <w:tc>
          <w:tcPr>
            <w:tcW w:type="dxa" w:w="3219"/>
            <w:vAlign w:val="center"/>
          </w:tcPr>
          <w:p>
            <w:pPr>
              <w:spacing w:line="252" w:lineRule="auto" w:after="20"/>
            </w:pPr>
            <w:r>
              <w:rPr>
                <w:rFonts w:ascii="Times New Roman" w:hAnsi="Times New Roman" w:cs="Times New Roman" w:eastAsia="Times New Roman"/>
                <w:sz w:val="24"/>
                <w:szCs w:val="24"/>
              </w:rPr>
              <w:t>Актив пен сату өсімі</w:t>
            </w:r>
          </w:p>
        </w:tc>
        <w:tc>
          <w:tcPr>
            <w:tcW w:type="dxa" w:w="3219"/>
            <w:vAlign w:val="center"/>
          </w:tcPr>
          <w:p>
            <w:pPr>
              <w:spacing w:line="252" w:lineRule="auto" w:after="20"/>
            </w:pPr>
            <w:r>
              <w:rPr>
                <w:rFonts w:ascii="Times New Roman" w:hAnsi="Times New Roman" w:cs="Times New Roman" w:eastAsia="Times New Roman"/>
                <w:sz w:val="24"/>
                <w:szCs w:val="24"/>
              </w:rPr>
              <w:t>Қызмет ауқымы өзгерді ме</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Өтімділік</w:t>
            </w:r>
          </w:p>
        </w:tc>
        <w:tc>
          <w:tcPr>
            <w:tcW w:type="dxa" w:w="3219"/>
            <w:vAlign w:val="center"/>
          </w:tcPr>
          <w:p>
            <w:pPr>
              <w:spacing w:line="252" w:lineRule="auto" w:after="20"/>
            </w:pPr>
            <w:r>
              <w:rPr>
                <w:rFonts w:ascii="Times New Roman" w:hAnsi="Times New Roman" w:cs="Times New Roman" w:eastAsia="Times New Roman"/>
                <w:sz w:val="24"/>
                <w:szCs w:val="24"/>
              </w:rPr>
              <w:t>Ағымдағы өтімділік</w:t>
            </w:r>
          </w:p>
        </w:tc>
        <w:tc>
          <w:tcPr>
            <w:tcW w:type="dxa" w:w="3219"/>
            <w:vAlign w:val="center"/>
          </w:tcPr>
          <w:p>
            <w:pPr>
              <w:spacing w:line="252" w:lineRule="auto" w:after="20"/>
            </w:pPr>
            <w:r>
              <w:rPr>
                <w:rFonts w:ascii="Times New Roman" w:hAnsi="Times New Roman" w:cs="Times New Roman" w:eastAsia="Times New Roman"/>
                <w:sz w:val="24"/>
                <w:szCs w:val="24"/>
              </w:rPr>
              <w:t>Қысқа міндеттемелердің активпен қамтылуы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Тұрақтылық</w:t>
            </w:r>
          </w:p>
        </w:tc>
        <w:tc>
          <w:tcPr>
            <w:tcW w:type="dxa" w:w="3219"/>
            <w:vAlign w:val="center"/>
          </w:tcPr>
          <w:p>
            <w:pPr>
              <w:spacing w:line="252" w:lineRule="auto" w:after="20"/>
            </w:pPr>
            <w:r>
              <w:rPr>
                <w:rFonts w:ascii="Times New Roman" w:hAnsi="Times New Roman" w:cs="Times New Roman" w:eastAsia="Times New Roman"/>
                <w:sz w:val="24"/>
                <w:szCs w:val="24"/>
              </w:rPr>
              <w:t>Капиталдың активтегі үлесі</w:t>
            </w:r>
          </w:p>
        </w:tc>
        <w:tc>
          <w:tcPr>
            <w:tcW w:type="dxa" w:w="3219"/>
            <w:vAlign w:val="center"/>
          </w:tcPr>
          <w:p>
            <w:pPr>
              <w:spacing w:line="252" w:lineRule="auto" w:after="20"/>
            </w:pPr>
            <w:r>
              <w:rPr>
                <w:rFonts w:ascii="Times New Roman" w:hAnsi="Times New Roman" w:cs="Times New Roman" w:eastAsia="Times New Roman"/>
                <w:sz w:val="24"/>
                <w:szCs w:val="24"/>
              </w:rPr>
              <w:t>Өз қаржыландыруының салмағы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Табыстылық</w:t>
            </w:r>
          </w:p>
        </w:tc>
        <w:tc>
          <w:tcPr>
            <w:tcW w:type="dxa" w:w="3219"/>
            <w:vAlign w:val="center"/>
          </w:tcPr>
          <w:p>
            <w:pPr>
              <w:spacing w:line="252" w:lineRule="auto" w:after="20"/>
            </w:pPr>
            <w:r>
              <w:rPr>
                <w:rFonts w:ascii="Times New Roman" w:hAnsi="Times New Roman" w:cs="Times New Roman" w:eastAsia="Times New Roman"/>
                <w:sz w:val="24"/>
                <w:szCs w:val="24"/>
              </w:rPr>
              <w:t>Таза маржа</w:t>
            </w:r>
          </w:p>
        </w:tc>
        <w:tc>
          <w:tcPr>
            <w:tcW w:type="dxa" w:w="3219"/>
            <w:vAlign w:val="center"/>
          </w:tcPr>
          <w:p>
            <w:pPr>
              <w:spacing w:line="252" w:lineRule="auto" w:after="20"/>
            </w:pPr>
            <w:r>
              <w:rPr>
                <w:rFonts w:ascii="Times New Roman" w:hAnsi="Times New Roman" w:cs="Times New Roman" w:eastAsia="Times New Roman"/>
                <w:sz w:val="24"/>
                <w:szCs w:val="24"/>
              </w:rPr>
              <w:t>Сатудан қанша пайда қалады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Ақша сапасы</w:t>
            </w:r>
          </w:p>
        </w:tc>
        <w:tc>
          <w:tcPr>
            <w:tcW w:type="dxa" w:w="3219"/>
            <w:vAlign w:val="center"/>
          </w:tcPr>
          <w:p>
            <w:pPr>
              <w:spacing w:line="252" w:lineRule="auto" w:after="20"/>
            </w:pPr>
            <w:r>
              <w:rPr>
                <w:rFonts w:ascii="Times New Roman" w:hAnsi="Times New Roman" w:cs="Times New Roman" w:eastAsia="Times New Roman"/>
                <w:sz w:val="24"/>
                <w:szCs w:val="24"/>
              </w:rPr>
              <w:t>Операциялық ағын және пайда</w:t>
            </w:r>
          </w:p>
        </w:tc>
        <w:tc>
          <w:tcPr>
            <w:tcW w:type="dxa" w:w="3219"/>
            <w:vAlign w:val="center"/>
          </w:tcPr>
          <w:p>
            <w:pPr>
              <w:spacing w:line="252" w:lineRule="auto" w:after="20"/>
            </w:pPr>
            <w:r>
              <w:rPr>
                <w:rFonts w:ascii="Times New Roman" w:hAnsi="Times New Roman" w:cs="Times New Roman" w:eastAsia="Times New Roman"/>
                <w:sz w:val="24"/>
                <w:szCs w:val="24"/>
              </w:rPr>
              <w:t>Пайда ақшаға айнала ма</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Айналым</w:t>
            </w:r>
          </w:p>
        </w:tc>
        <w:tc>
          <w:tcPr>
            <w:tcW w:type="dxa" w:w="3219"/>
            <w:vAlign w:val="center"/>
          </w:tcPr>
          <w:p>
            <w:pPr>
              <w:spacing w:line="252" w:lineRule="auto" w:after="20"/>
            </w:pPr>
            <w:r>
              <w:rPr>
                <w:rFonts w:ascii="Times New Roman" w:hAnsi="Times New Roman" w:cs="Times New Roman" w:eastAsia="Times New Roman"/>
                <w:sz w:val="24"/>
                <w:szCs w:val="24"/>
              </w:rPr>
              <w:t>Берешек пен қор динамикасы</w:t>
            </w:r>
          </w:p>
        </w:tc>
        <w:tc>
          <w:tcPr>
            <w:tcW w:type="dxa" w:w="3219"/>
            <w:vAlign w:val="center"/>
          </w:tcPr>
          <w:p>
            <w:pPr>
              <w:spacing w:line="252" w:lineRule="auto" w:after="20"/>
            </w:pPr>
            <w:r>
              <w:rPr>
                <w:rFonts w:ascii="Times New Roman" w:hAnsi="Times New Roman" w:cs="Times New Roman" w:eastAsia="Times New Roman"/>
                <w:sz w:val="24"/>
                <w:szCs w:val="24"/>
              </w:rPr>
              <w:t>Ресурс айналымда байланып қалды ма</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Көрсеткіш саны ұйымның қызметіне сай таңдалады. Қор ұсталмайтын қызмет көрсету компаниясында қор айналымын есептеу міндетті емес. Негізгі дерек жоқ жерде көрсеткіштің орнына жалған нөл қоюға болмайды.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«АрнаӨндіріс» мысалын талдау</w:t>
      </w:r>
    </w:p>
    <w:p>
      <w:pPr>
        <w:ind w:firstLine="709"/>
        <w:jc w:val="both"/>
        <w:rPr>
          <w:szCs w:val="24"/>
        </w:rPr>
      </w:pPr>
      <w:r>
        <w:rPr>
          <w:rFonts w:ascii="Times New Roman" w:hAnsi="Times New Roman" w:cs="Times New Roman" w:eastAsia="Times New Roman"/>
          <w:sz w:val="24"/>
          <w:szCs w:val="24"/>
        </w:rPr>
        <w:t>Актив 2 000-нан 2 500-ге, сату 2 400-ден 3 000-ға өсті: екеуінің өсімі 25%. Қысқа мерзімді актив 1 240, міндеттеме 500 болса, ағымдағы өтімділік 2,48. Алдыңғы кезеңде 1 000 / 400 = 2,50 болған. Аз ғана төмендеуді бірден дағдарыс деп бағалау орынсыз.</w:t>
      </w:r>
    </w:p>
    <w:p>
      <w:pPr>
        <w:ind w:firstLine="709"/>
        <w:jc w:val="both"/>
        <w:rPr>
          <w:szCs w:val="24"/>
        </w:rPr>
      </w:pPr>
      <w:r>
        <w:rPr>
          <w:rFonts w:ascii="Times New Roman" w:hAnsi="Times New Roman" w:cs="Times New Roman" w:eastAsia="Times New Roman"/>
          <w:sz w:val="24"/>
          <w:szCs w:val="24"/>
        </w:rPr>
        <w:t>Капитал үлесі 55%-дан 54%-ға өзгерді. Таза пайда 350, сату 3 000 болғанда таза маржа 11,67%. Операциялық ақша ағыны 420, яғни сол кезеңдегі таза пайдадан жоғары. Бұл пайданың ақшамен қолдау тапқанын көрсететін бастапқы оң белгі, бірақ тұрақтылықты бағалау үшін бірнеше кезең мен ағын құрамын қарау керек.</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Бастапқы байқау</w:t>
            </w:r>
          </w:p>
        </w:tc>
        <w:tc>
          <w:tcPr>
            <w:tcW w:type="dxa" w:w="3219"/>
            <w:vAlign w:val="center"/>
            <w:shd w:fill="E9EEF4"/>
          </w:tcPr>
          <w:p>
            <w:pPr>
              <w:spacing w:line="252" w:lineRule="auto" w:after="20"/>
            </w:pPr>
            <w:r>
              <w:rPr>
                <w:rFonts w:ascii="Times New Roman" w:hAnsi="Times New Roman" w:cs="Times New Roman" w:eastAsia="Times New Roman"/>
                <w:b/>
                <w:sz w:val="24"/>
                <w:szCs w:val="24"/>
              </w:rPr>
              <w:t>Қысқа түсіндіру</w:t>
            </w:r>
          </w:p>
        </w:tc>
        <w:tc>
          <w:tcPr>
            <w:tcW w:type="dxa" w:w="3219"/>
            <w:vAlign w:val="center"/>
            <w:shd w:fill="E9EEF4"/>
          </w:tcPr>
          <w:p>
            <w:pPr>
              <w:spacing w:line="252" w:lineRule="auto" w:after="20"/>
            </w:pPr>
            <w:r>
              <w:rPr>
                <w:rFonts w:ascii="Times New Roman" w:hAnsi="Times New Roman" w:cs="Times New Roman" w:eastAsia="Times New Roman"/>
                <w:b/>
                <w:sz w:val="24"/>
                <w:szCs w:val="24"/>
              </w:rPr>
              <w:t>Келесі тексеру</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Сату мен актив 25% өсті</w:t>
            </w:r>
          </w:p>
        </w:tc>
        <w:tc>
          <w:tcPr>
            <w:tcW w:type="dxa" w:w="3219"/>
            <w:vAlign w:val="center"/>
          </w:tcPr>
          <w:p>
            <w:pPr>
              <w:spacing w:line="252" w:lineRule="auto" w:after="20"/>
            </w:pPr>
            <w:r>
              <w:rPr>
                <w:rFonts w:ascii="Times New Roman" w:hAnsi="Times New Roman" w:cs="Times New Roman" w:eastAsia="Times New Roman"/>
                <w:sz w:val="24"/>
                <w:szCs w:val="24"/>
              </w:rPr>
              <w:t>Қызмет ауқымы ұлғайған</w:t>
            </w:r>
          </w:p>
        </w:tc>
        <w:tc>
          <w:tcPr>
            <w:tcW w:type="dxa" w:w="3219"/>
            <w:vAlign w:val="center"/>
          </w:tcPr>
          <w:p>
            <w:pPr>
              <w:spacing w:line="252" w:lineRule="auto" w:after="20"/>
            </w:pPr>
            <w:r>
              <w:rPr>
                <w:rFonts w:ascii="Times New Roman" w:hAnsi="Times New Roman" w:cs="Times New Roman" w:eastAsia="Times New Roman"/>
                <w:sz w:val="24"/>
                <w:szCs w:val="24"/>
              </w:rPr>
              <w:t>Өсімнің органикалық не өзге көзі</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Берешек 33,33% өсті</w:t>
            </w:r>
          </w:p>
        </w:tc>
        <w:tc>
          <w:tcPr>
            <w:tcW w:type="dxa" w:w="3219"/>
            <w:vAlign w:val="center"/>
          </w:tcPr>
          <w:p>
            <w:pPr>
              <w:spacing w:line="252" w:lineRule="auto" w:after="20"/>
            </w:pPr>
            <w:r>
              <w:rPr>
                <w:rFonts w:ascii="Times New Roman" w:hAnsi="Times New Roman" w:cs="Times New Roman" w:eastAsia="Times New Roman"/>
                <w:sz w:val="24"/>
                <w:szCs w:val="24"/>
              </w:rPr>
              <w:t>Сатудан жылдамырақ өсім</w:t>
            </w:r>
          </w:p>
        </w:tc>
        <w:tc>
          <w:tcPr>
            <w:tcW w:type="dxa" w:w="3219"/>
            <w:vAlign w:val="center"/>
          </w:tcPr>
          <w:p>
            <w:pPr>
              <w:spacing w:line="252" w:lineRule="auto" w:after="20"/>
            </w:pPr>
            <w:r>
              <w:rPr>
                <w:rFonts w:ascii="Times New Roman" w:hAnsi="Times New Roman" w:cs="Times New Roman" w:eastAsia="Times New Roman"/>
                <w:sz w:val="24"/>
                <w:szCs w:val="24"/>
              </w:rPr>
              <w:t>Мерзімдік құрылым, ірі клиенттер</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Өтімділік 2,48</w:t>
            </w:r>
          </w:p>
        </w:tc>
        <w:tc>
          <w:tcPr>
            <w:tcW w:type="dxa" w:w="3219"/>
            <w:vAlign w:val="center"/>
          </w:tcPr>
          <w:p>
            <w:pPr>
              <w:spacing w:line="252" w:lineRule="auto" w:after="20"/>
            </w:pPr>
            <w:r>
              <w:rPr>
                <w:rFonts w:ascii="Times New Roman" w:hAnsi="Times New Roman" w:cs="Times New Roman" w:eastAsia="Times New Roman"/>
                <w:sz w:val="24"/>
                <w:szCs w:val="24"/>
              </w:rPr>
              <w:t>Активпен қамтылу жеткілікті көрінеді</w:t>
            </w:r>
          </w:p>
        </w:tc>
        <w:tc>
          <w:tcPr>
            <w:tcW w:type="dxa" w:w="3219"/>
            <w:vAlign w:val="center"/>
          </w:tcPr>
          <w:p>
            <w:pPr>
              <w:spacing w:line="252" w:lineRule="auto" w:after="20"/>
            </w:pPr>
            <w:r>
              <w:rPr>
                <w:rFonts w:ascii="Times New Roman" w:hAnsi="Times New Roman" w:cs="Times New Roman" w:eastAsia="Times New Roman"/>
                <w:sz w:val="24"/>
                <w:szCs w:val="24"/>
              </w:rPr>
              <w:t>Қор мен берешек сапасы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Операциялық ағын 420</w:t>
            </w:r>
          </w:p>
        </w:tc>
        <w:tc>
          <w:tcPr>
            <w:tcW w:type="dxa" w:w="3219"/>
            <w:vAlign w:val="center"/>
          </w:tcPr>
          <w:p>
            <w:pPr>
              <w:spacing w:line="252" w:lineRule="auto" w:after="20"/>
            </w:pPr>
            <w:r>
              <w:rPr>
                <w:rFonts w:ascii="Times New Roman" w:hAnsi="Times New Roman" w:cs="Times New Roman" w:eastAsia="Times New Roman"/>
                <w:sz w:val="24"/>
                <w:szCs w:val="24"/>
              </w:rPr>
              <w:t>Кезең пайдасын ақшалай қолдау бар</w:t>
            </w:r>
          </w:p>
        </w:tc>
        <w:tc>
          <w:tcPr>
            <w:tcW w:type="dxa" w:w="3219"/>
            <w:vAlign w:val="center"/>
          </w:tcPr>
          <w:p>
            <w:pPr>
              <w:spacing w:line="252" w:lineRule="auto" w:after="20"/>
            </w:pPr>
            <w:r>
              <w:rPr>
                <w:rFonts w:ascii="Times New Roman" w:hAnsi="Times New Roman" w:cs="Times New Roman" w:eastAsia="Times New Roman"/>
                <w:sz w:val="24"/>
                <w:szCs w:val="24"/>
              </w:rPr>
              <w:t>Біржолғы төлемдер мен тұрақтылық</w:t>
            </w:r>
          </w:p>
        </w:tc>
      </w:tr>
    </w:tbl>
    <w:p>
      <w:pPr>
        <w:ind w:firstLine="709"/>
        <w:jc w:val="both"/>
        <w:rPr>
          <w:szCs w:val="24"/>
        </w:rPr>
      </w:pP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Қысқа аналитикалық қорытынды жазу</w:t>
      </w:r>
    </w:p>
    <w:p>
      <w:pPr>
        <w:ind w:firstLine="709"/>
        <w:jc w:val="both"/>
        <w:rPr>
          <w:szCs w:val="24"/>
        </w:rPr>
      </w:pPr>
      <w:r>
        <w:rPr>
          <w:rFonts w:ascii="Times New Roman" w:hAnsi="Times New Roman" w:cs="Times New Roman" w:eastAsia="Times New Roman"/>
          <w:sz w:val="24"/>
          <w:szCs w:val="24"/>
        </w:rPr>
        <w:t>Жақсы қорытынды фактілерден, олардың түсіндірмесінен және тексерілетін сұрақтан тұрады. «Ұйымның жағдайы жақсы» деген сөйлемнің орнына: «Қызмет көлемі өсті, капитал үлесі салыстырмалы тұрақты, операциялық ақша ағыны оң; дебиторлық берешектің сатудан жылдамырақ өсу себебін нақтылау қажет» деп жазуға болады.</w:t>
      </w:r>
    </w:p>
    <w:p>
      <w:pPr>
        <w:ind w:firstLine="709"/>
        <w:jc w:val="both"/>
        <w:rPr>
          <w:szCs w:val="24"/>
        </w:rPr>
      </w:pPr>
      <w:r>
        <w:rPr>
          <w:rFonts w:ascii="Times New Roman" w:hAnsi="Times New Roman" w:cs="Times New Roman" w:eastAsia="Times New Roman"/>
          <w:sz w:val="24"/>
          <w:szCs w:val="24"/>
        </w:rPr>
        <w:t>Тәуекел мен артықшылықты бірге көрсету маңызды. Бір қолайлы коэффициенттің көмегімен барлық мәселені жабуға да, бір қолайсыз ауытқумен бүкіл ұйымды теріске шығаруға да болмайды. Қорытындының көлемі қысқа болғанымен, әр тұжырым тексерілетін дерекке сүйенеді.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Жедел талдаудың шегі</w:t>
      </w:r>
    </w:p>
    <w:p>
      <w:pPr>
        <w:ind w:firstLine="709"/>
        <w:jc w:val="both"/>
        <w:rPr>
          <w:szCs w:val="24"/>
        </w:rPr>
      </w:pPr>
      <w:r>
        <w:rPr>
          <w:rFonts w:ascii="Times New Roman" w:hAnsi="Times New Roman" w:cs="Times New Roman" w:eastAsia="Times New Roman"/>
          <w:sz w:val="24"/>
          <w:szCs w:val="24"/>
        </w:rPr>
        <w:t>Баланс күніндегі көрсеткіш жыл ішіндегі ақша тапшылығын жасыруы мүмкін. Бір реттік актив сату пайданы көтеруі ықтимал. Мерзімі өткен берешек жиынтық соманың ішінде көрінбей қалуы мүмкін. Сондықтан жедел талдау толық инвестициялық немесе кредиттік шешімнің жалғыз негізі болмауға тиіс.</w:t>
      </w:r>
    </w:p>
    <w:p>
      <w:pPr>
        <w:ind w:firstLine="709"/>
        <w:jc w:val="both"/>
        <w:rPr>
          <w:szCs w:val="24"/>
        </w:rPr>
      </w:pPr>
      <w:r>
        <w:rPr>
          <w:rFonts w:ascii="Times New Roman" w:hAnsi="Times New Roman" w:cs="Times New Roman" w:eastAsia="Times New Roman"/>
          <w:sz w:val="24"/>
          <w:szCs w:val="24"/>
        </w:rPr>
        <w:t>Оқулықтардағы бағдарлы шектер салыстыруға көмектеседі, бірақ ҚЕХС-та барлық кәсіпорын үшін бірдей міндетті ағымдағы өтімділік немесе капитал үлесі белгіленбейді. Сала, келісімшарт және қарыз шарты бөлек ескеріледі.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Жедел талдауды толық диагностика деп көрсету.</w:t>
      </w:r>
    </w:p>
    <w:p>
      <w:pPr>
        <w:pStyle w:val="a0"/>
        <w:tabs>
          <w:tab w:val="left" w:pos="1134"/>
        </w:tabs>
        <w:ind w:firstLine="491"/>
        <w:jc w:val="both"/>
        <w:rPr>
          <w:szCs w:val="24"/>
        </w:rPr>
      </w:pPr>
      <w:r>
        <w:rPr>
          <w:rFonts w:ascii="Times New Roman" w:hAnsi="Times New Roman" w:cs="Times New Roman" w:eastAsia="Times New Roman"/>
          <w:sz w:val="24"/>
          <w:szCs w:val="24"/>
        </w:rPr>
        <w:t>Коэффициентке сала мен дерек сапасын ескермей баға беру.</w:t>
      </w:r>
    </w:p>
    <w:p>
      <w:pPr>
        <w:pStyle w:val="a0"/>
        <w:tabs>
          <w:tab w:val="left" w:pos="1134"/>
        </w:tabs>
        <w:ind w:firstLine="491"/>
        <w:jc w:val="both"/>
        <w:rPr>
          <w:szCs w:val="24"/>
        </w:rPr>
      </w:pPr>
      <w:r>
        <w:rPr>
          <w:rFonts w:ascii="Times New Roman" w:hAnsi="Times New Roman" w:cs="Times New Roman" w:eastAsia="Times New Roman"/>
          <w:sz w:val="24"/>
          <w:szCs w:val="24"/>
        </w:rPr>
        <w:t>Фактіні дәлелденбеген себеппен алмастыру.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Жедел талдау қандай нәтижемен аяқталуы керек?</w:t>
      </w:r>
    </w:p>
    <w:p>
      <w:pPr>
        <w:spacing w:after="80"/>
        <w:ind w:left="170" w:firstLine="709"/>
        <w:jc w:val="both"/>
        <w:rPr>
          <w:szCs w:val="24"/>
        </w:rPr>
      </w:pPr>
      <w:r>
        <w:rPr>
          <w:rFonts w:ascii="Times New Roman" w:hAnsi="Times New Roman" w:cs="Times New Roman" w:eastAsia="Times New Roman"/>
          <w:sz w:val="24"/>
          <w:szCs w:val="24"/>
        </w:rPr>
        <w:t>2. Алдымен дерек сапасын тексерудің мәні неде?</w:t>
      </w:r>
    </w:p>
    <w:p>
      <w:pPr>
        <w:spacing w:after="80"/>
        <w:ind w:left="170" w:firstLine="709"/>
        <w:jc w:val="both"/>
        <w:rPr>
          <w:szCs w:val="24"/>
        </w:rPr>
      </w:pPr>
      <w:r>
        <w:rPr>
          <w:rFonts w:ascii="Times New Roman" w:hAnsi="Times New Roman" w:cs="Times New Roman" w:eastAsia="Times New Roman"/>
          <w:sz w:val="24"/>
          <w:szCs w:val="24"/>
        </w:rPr>
        <w:t>3. Оң пайда мен теріс ақша ағыны қатар болуы мүмкін бе?</w:t>
      </w:r>
    </w:p>
    <w:p>
      <w:pPr>
        <w:spacing w:after="80"/>
        <w:ind w:left="170" w:firstLine="709"/>
        <w:jc w:val="both"/>
        <w:rPr>
          <w:szCs w:val="24"/>
        </w:rPr>
      </w:pPr>
      <w:r>
        <w:rPr>
          <w:rFonts w:ascii="Times New Roman" w:hAnsi="Times New Roman" w:cs="Times New Roman" w:eastAsia="Times New Roman"/>
          <w:sz w:val="24"/>
          <w:szCs w:val="24"/>
        </w:rPr>
        <w:t>4. Қай белгілер тереңдетілген талдауға себеп болады?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Өтімділік 3,0, бірақ қысқа активтің 80%-ы екі жылдан бері сатылмай тұрған қор. Жалғыз коэффициентке сүйеніп жоғары төлем қабілеттілігі туралы қорытынды жасауға болмайды; қордың өткізілуі мен құнсыздануы тексеріледі.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 xml:space="preserve">[Ә1] Кириченко, Д. А. Финансовый анализ : учебное пособие / Д. А. Кириченко, Н. Е. Симионова. — Москва : Ай Пи Ар Медиа, 2022. — 103 c. — ISBN 978-5-4497-1740-5. — Текст : электронный // Цифровой образовательный ресурс IPR SMART : [сайт]. </w:t>
      </w:r>
      <w:hyperlink r:id="rId8">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5">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[Ә6] Техника финансового анализа в контексте антикризисного управления предприятием: Учебное пособие/ О.В.Куур, Р.А. Костырко. - Усть-Каменогорск, ВКГТУ, 2019. – 170 с.</w:t>
      </w:r>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www.iprbookshop.ru/1426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Қаржылық есептілікті жедел талдау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