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12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талдау әдістері</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Көлденең, тік, трендтік, салыстырмалы, факторлық және коэффициенттік талдауды ажырату және әр әдістің нәтижесін түсіндіру.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Есептілікті оқу талдаудан бұрын басталады; Көлденең талдау; Тік талдау; Трендтік және салыстырмалы талдау; Факторлық талдаудың қарапайым мысалы; Коэффициенттік талдау.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Есептілікті оқу талдаудан бұрын басталады</w:t>
      </w:r>
    </w:p>
    <w:p>
      <w:pPr>
        <w:ind w:firstLine="709"/>
        <w:jc w:val="both"/>
        <w:rPr>
          <w:szCs w:val="24"/>
        </w:rPr>
      </w:pPr>
      <w:r>
        <w:rPr>
          <w:rFonts w:ascii="Times New Roman" w:hAnsi="Times New Roman" w:cs="Times New Roman" w:eastAsia="Times New Roman"/>
          <w:sz w:val="24"/>
          <w:szCs w:val="24"/>
        </w:rPr>
        <w:t>Есептілікті оқу — баптың мазмұнын, бағалау негізін және есептер арасындағы байланысты түсіну. Мысалы, актив өсімі пайдалы жаңа жабдықтан да, өтелмейтін берешектен де туындауы мүмкін. Сондықтан есептеуге кіріспей тұрып баптың экономикалық мағынасы тексеріледі.</w:t>
      </w:r>
    </w:p>
    <w:p>
      <w:pPr>
        <w:ind w:firstLine="709"/>
        <w:jc w:val="both"/>
        <w:rPr>
          <w:szCs w:val="24"/>
        </w:rPr>
      </w:pPr>
      <w:r>
        <w:rPr>
          <w:rFonts w:ascii="Times New Roman" w:hAnsi="Times New Roman" w:cs="Times New Roman" w:eastAsia="Times New Roman"/>
          <w:sz w:val="24"/>
          <w:szCs w:val="24"/>
        </w:rPr>
        <w:t>Әдістер бірін-бірі толықтырады. Көлденең талдау өзгерісті табады, тік талдау құрылымды ашады, коэффициент байланыс көрсетеді, ал факторлық талдау белгілі модель ішіндегі өзгерісті бөліктерге ажыратады. Бір ғана әдіс барлық себепті ашпайды.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Көлденең талдау</w:t>
      </w:r>
    </w:p>
    <w:p>
      <w:pPr>
        <w:ind w:firstLine="709"/>
        <w:jc w:val="both"/>
        <w:rPr>
          <w:szCs w:val="24"/>
        </w:rPr>
      </w:pPr>
      <w:r>
        <w:rPr>
          <w:rFonts w:ascii="Times New Roman" w:hAnsi="Times New Roman" w:cs="Times New Roman" w:eastAsia="Times New Roman"/>
          <w:sz w:val="24"/>
          <w:szCs w:val="24"/>
        </w:rPr>
        <w:t>Көлденең талдау бір баптың кезеңдер бойынша абсолюттік және салыстырмалы өзгерісін өлшейді. Абсолюттік өзгеріс ағымдағы сомадан базалық соманы шегерумен табылады. Өсу қарқыны ағымдағы соманың базалық сомаға қатынасын, өсім қарқыны өзгерістің базалық сомаға қатынасын көрсетеді.</w:t>
      </w:r>
    </w:p>
    <w:p>
      <w:pPr>
        <w:ind w:firstLine="709"/>
        <w:jc w:val="both"/>
        <w:rPr>
          <w:szCs w:val="24"/>
        </w:rPr>
      </w:pPr>
      <m:oMath>
        <m:r>
          <m:rPr>
            <m:nor/>
          </m:rPr>
          <w:rPr>
            <w:rFonts w:ascii="Times New Roman" w:hAnsi="Times New Roman"/>
            <w:sz w:val="22"/>
          </w:rPr>
          <m:t xml:space="preserve">Абсолюттік өзгеріс = Ағымдағы сома − Базалық сома</m:t>
        </m:r>
      </m:oMath>
    </w:p>
    <w:p>
      <w:pPr>
        <w:ind w:firstLine="709"/>
        <w:jc w:val="both"/>
        <w:rPr>
          <w:szCs w:val="24"/>
        </w:rPr>
        <w:keepNext/>
      </w:pPr>
      <w:r>
        <w:rPr>
          <w:rFonts w:ascii="Times New Roman" w:hAnsi="Times New Roman" w:cs="Times New Roman" w:eastAsia="Times New Roman"/>
          <w:b/>
          <w:sz w:val="24"/>
          <w:szCs w:val="24"/>
        </w:rPr>
        <w:t>Өсім қарқыны</w:t>
      </w:r>
    </w:p>
    <w:p>
      <w:pPr>
        <w:ind w:firstLine="709"/>
        <w:jc w:val="both"/>
        <w:rPr>
          <w:szCs w:val="24"/>
        </w:rPr>
      </w:pPr>
      <m:oMath>
        <m:f>
          <m:num>
            <m:r>
              <m:rPr>
                <m:nor/>
              </m:rPr>
              <w:rPr>
                <w:rFonts w:ascii="Times New Roman" w:hAnsi="Times New Roman"/>
                <w:sz w:val="22"/>
              </w:rPr>
              <m:t xml:space="preserve">Ағымдағы сома − Базалық сома</m:t>
            </m:r>
          </m:num>
          <m:den>
            <m:r>
              <m:rPr>
                <m:nor/>
              </m:rPr>
              <w:rPr>
                <w:rFonts w:ascii="Times New Roman" w:hAnsi="Times New Roman"/>
                <w:sz w:val="22"/>
              </w:rPr>
              <m:t xml:space="preserve">Базалық сома</m:t>
            </m:r>
          </m:den>
        </m:f>
        <m:r>
          <m:rPr>
            <m:nor/>
          </m:rPr>
          <w:rPr>
            <w:rFonts w:ascii="Times New Roman" w:hAnsi="Times New Roman"/>
            <w:sz w:val="22"/>
          </w:rPr>
          <m:t xml:space="preserve"> × 100%</m:t>
        </m:r>
      </m:oMath>
    </w:p>
    <w:p>
      <w:pPr>
        <w:ind w:firstLine="709"/>
        <w:jc w:val="both"/>
        <w:rPr>
          <w:szCs w:val="24"/>
        </w:rPr>
      </w:pPr>
      <w:r>
        <w:rPr>
          <w:rFonts w:ascii="Times New Roman" w:hAnsi="Times New Roman" w:cs="Times New Roman" w:eastAsia="Times New Roman"/>
          <w:sz w:val="24"/>
          <w:szCs w:val="24"/>
        </w:rPr>
        <w:t>«АрнаӨндіріс» сатуы 2 400-ден 3 000-ға өсті. Абсолюттік өсім 600 мың теңге, өсім қарқыны 25%, ал өсу қарқыны 125%. «125% өсті» деп жазу бұл жағдайда жаңылыстырады. База нөлге тең болса, әдеттегі пайыздық өсім есептелмейді; теріс база болса, пайыздың экономикалық мағынасы бөлек түсіндіріледі.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Тік талдау</w:t>
      </w:r>
    </w:p>
    <w:p>
      <w:pPr>
        <w:ind w:firstLine="709"/>
        <w:jc w:val="both"/>
        <w:rPr>
          <w:szCs w:val="24"/>
        </w:rPr>
      </w:pPr>
      <w:r>
        <w:rPr>
          <w:rFonts w:ascii="Times New Roman" w:hAnsi="Times New Roman" w:cs="Times New Roman" w:eastAsia="Times New Roman"/>
          <w:sz w:val="24"/>
          <w:szCs w:val="24"/>
        </w:rPr>
        <w:t>Тік талдауда бап жалпы соманың үлесі ретінде көрсетіледі. Баланста база әдетте активтердің жиынтығы, пайда туралы есепте сату кірісі болады. Әр жылға бірдей база таңдалып, құрылым салыстырылады.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219"/>
        <w:gridCol w:w="2083"/>
        <w:gridCol w:w="2083"/>
        <w:gridCol w:w="2083"/>
      </w:tblGrid>
      <w:tr>
        <w:trPr>
          <w:tblHeader/>
          <w:cantSplit/>
        </w:trPr>
        <w:tc>
          <w:tcPr>
            <w:tcW w:type="dxa" w:w="3219"/>
            <w:vAlign w:val="center"/>
            <w:shd w:fill="E9EEF4"/>
          </w:tcPr>
          <w:p>
            <w:pPr>
              <w:spacing w:line="252" w:lineRule="auto" w:after="20"/>
            </w:pPr>
            <w:r>
              <w:rPr>
                <w:rFonts w:ascii="Times New Roman" w:hAnsi="Times New Roman" w:cs="Times New Roman" w:eastAsia="Times New Roman"/>
                <w:b/>
                <w:sz w:val="24"/>
                <w:szCs w:val="24"/>
              </w:rPr>
              <w:t>Көрсеткіш</w:t>
            </w:r>
          </w:p>
        </w:tc>
        <w:tc>
          <w:tcPr>
            <w:tcW w:type="dxa" w:w="2083"/>
            <w:vAlign w:val="center"/>
            <w:shd w:fill="E9EEF4"/>
          </w:tcPr>
          <w:p>
            <w:pPr>
              <w:spacing w:line="252" w:lineRule="auto" w:after="20"/>
            </w:pPr>
            <w:r>
              <w:rPr>
                <w:rFonts w:ascii="Times New Roman" w:hAnsi="Times New Roman" w:cs="Times New Roman" w:eastAsia="Times New Roman"/>
                <w:b/>
                <w:sz w:val="24"/>
                <w:szCs w:val="24"/>
              </w:rPr>
              <w:t>2026</w:t>
            </w:r>
          </w:p>
        </w:tc>
        <w:tc>
          <w:tcPr>
            <w:tcW w:type="dxa" w:w="2083"/>
            <w:vAlign w:val="center"/>
            <w:shd w:fill="E9EEF4"/>
          </w:tcPr>
          <w:p>
            <w:pPr>
              <w:spacing w:line="252" w:lineRule="auto" w:after="20"/>
            </w:pPr>
            <w:r>
              <w:rPr>
                <w:rFonts w:ascii="Times New Roman" w:hAnsi="Times New Roman" w:cs="Times New Roman" w:eastAsia="Times New Roman"/>
                <w:b/>
                <w:sz w:val="24"/>
                <w:szCs w:val="24"/>
              </w:rPr>
              <w:t>2027</w:t>
            </w:r>
          </w:p>
        </w:tc>
        <w:tc>
          <w:tcPr>
            <w:tcW w:type="dxa" w:w="2083"/>
            <w:vAlign w:val="center"/>
            <w:shd w:fill="E9EEF4"/>
          </w:tcPr>
          <w:p>
            <w:pPr>
              <w:spacing w:line="252" w:lineRule="auto" w:after="20"/>
            </w:pPr>
            <w:r>
              <w:rPr>
                <w:rFonts w:ascii="Times New Roman" w:hAnsi="Times New Roman" w:cs="Times New Roman" w:eastAsia="Times New Roman"/>
                <w:b/>
                <w:sz w:val="24"/>
                <w:szCs w:val="24"/>
              </w:rPr>
              <w:t>Құрылым өзгерісі</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Қордың активтегі үлесі</w:t>
            </w:r>
          </w:p>
        </w:tc>
        <w:tc>
          <w:tcPr>
            <w:tcW w:type="dxa" w:w="2083"/>
            <w:vAlign w:val="center"/>
          </w:tcPr>
          <w:p>
            <w:pPr>
              <w:spacing w:line="252" w:lineRule="auto" w:after="20"/>
              <w:jc w:val="center"/>
            </w:pPr>
            <w:r>
              <w:rPr>
                <w:rFonts w:ascii="Times New Roman" w:hAnsi="Times New Roman" w:cs="Times New Roman" w:eastAsia="Times New Roman"/>
                <w:sz w:val="24"/>
                <w:szCs w:val="24"/>
              </w:rPr>
              <w:t>500 / 2 000 = 25%</w:t>
            </w:r>
          </w:p>
        </w:tc>
        <w:tc>
          <w:tcPr>
            <w:tcW w:type="dxa" w:w="2083"/>
            <w:vAlign w:val="center"/>
          </w:tcPr>
          <w:p>
            <w:pPr>
              <w:spacing w:line="252" w:lineRule="auto" w:after="20"/>
              <w:jc w:val="center"/>
            </w:pPr>
            <w:r>
              <w:rPr>
                <w:rFonts w:ascii="Times New Roman" w:hAnsi="Times New Roman" w:cs="Times New Roman" w:eastAsia="Times New Roman"/>
                <w:sz w:val="24"/>
                <w:szCs w:val="24"/>
              </w:rPr>
              <w:t>600 / 2 500 = 24%</w:t>
            </w:r>
          </w:p>
        </w:tc>
        <w:tc>
          <w:tcPr>
            <w:tcW w:type="dxa" w:w="2083"/>
            <w:vAlign w:val="center"/>
          </w:tcPr>
          <w:p>
            <w:pPr>
              <w:spacing w:line="252" w:lineRule="auto" w:after="20"/>
              <w:jc w:val="center"/>
            </w:pPr>
            <w:r>
              <w:rPr>
                <w:rFonts w:ascii="Times New Roman" w:hAnsi="Times New Roman" w:cs="Times New Roman" w:eastAsia="Times New Roman"/>
                <w:sz w:val="24"/>
                <w:szCs w:val="24"/>
              </w:rPr>
              <w:t>−1 пайыздық тармақ</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Капиталдың активтегі үлесі</w:t>
            </w:r>
          </w:p>
        </w:tc>
        <w:tc>
          <w:tcPr>
            <w:tcW w:type="dxa" w:w="2083"/>
            <w:vAlign w:val="center"/>
          </w:tcPr>
          <w:p>
            <w:pPr>
              <w:spacing w:line="252" w:lineRule="auto" w:after="20"/>
              <w:jc w:val="center"/>
            </w:pPr>
            <w:r>
              <w:rPr>
                <w:rFonts w:ascii="Times New Roman" w:hAnsi="Times New Roman" w:cs="Times New Roman" w:eastAsia="Times New Roman"/>
                <w:sz w:val="24"/>
                <w:szCs w:val="24"/>
              </w:rPr>
              <w:t>55%</w:t>
            </w:r>
          </w:p>
        </w:tc>
        <w:tc>
          <w:tcPr>
            <w:tcW w:type="dxa" w:w="2083"/>
            <w:vAlign w:val="center"/>
          </w:tcPr>
          <w:p>
            <w:pPr>
              <w:spacing w:line="252" w:lineRule="auto" w:after="20"/>
              <w:jc w:val="center"/>
            </w:pPr>
            <w:r>
              <w:rPr>
                <w:rFonts w:ascii="Times New Roman" w:hAnsi="Times New Roman" w:cs="Times New Roman" w:eastAsia="Times New Roman"/>
                <w:sz w:val="24"/>
                <w:szCs w:val="24"/>
              </w:rPr>
              <w:t>54%</w:t>
            </w:r>
          </w:p>
        </w:tc>
        <w:tc>
          <w:tcPr>
            <w:tcW w:type="dxa" w:w="2083"/>
            <w:vAlign w:val="center"/>
          </w:tcPr>
          <w:p>
            <w:pPr>
              <w:spacing w:line="252" w:lineRule="auto" w:after="20"/>
              <w:jc w:val="center"/>
            </w:pPr>
            <w:r>
              <w:rPr>
                <w:rFonts w:ascii="Times New Roman" w:hAnsi="Times New Roman" w:cs="Times New Roman" w:eastAsia="Times New Roman"/>
                <w:sz w:val="24"/>
                <w:szCs w:val="24"/>
              </w:rPr>
              <w:t>−1 пайыздық тармақ</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Дебиторлық берешек үлесі</w:t>
            </w:r>
          </w:p>
        </w:tc>
        <w:tc>
          <w:tcPr>
            <w:tcW w:type="dxa" w:w="2083"/>
            <w:vAlign w:val="center"/>
          </w:tcPr>
          <w:p>
            <w:pPr>
              <w:spacing w:line="252" w:lineRule="auto" w:after="20"/>
              <w:jc w:val="center"/>
            </w:pPr>
            <w:r>
              <w:rPr>
                <w:rFonts w:ascii="Times New Roman" w:hAnsi="Times New Roman" w:cs="Times New Roman" w:eastAsia="Times New Roman"/>
                <w:sz w:val="24"/>
                <w:szCs w:val="24"/>
              </w:rPr>
              <w:t>15%</w:t>
            </w:r>
          </w:p>
        </w:tc>
        <w:tc>
          <w:tcPr>
            <w:tcW w:type="dxa" w:w="2083"/>
            <w:vAlign w:val="center"/>
          </w:tcPr>
          <w:p>
            <w:pPr>
              <w:spacing w:line="252" w:lineRule="auto" w:after="20"/>
              <w:jc w:val="center"/>
            </w:pPr>
            <w:r>
              <w:rPr>
                <w:rFonts w:ascii="Times New Roman" w:hAnsi="Times New Roman" w:cs="Times New Roman" w:eastAsia="Times New Roman"/>
                <w:sz w:val="24"/>
                <w:szCs w:val="24"/>
              </w:rPr>
              <w:t>16%</w:t>
            </w:r>
          </w:p>
        </w:tc>
        <w:tc>
          <w:tcPr>
            <w:tcW w:type="dxa" w:w="2083"/>
            <w:vAlign w:val="center"/>
          </w:tcPr>
          <w:p>
            <w:pPr>
              <w:spacing w:line="252" w:lineRule="auto" w:after="20"/>
              <w:jc w:val="center"/>
            </w:pPr>
            <w:r>
              <w:rPr>
                <w:rFonts w:ascii="Times New Roman" w:hAnsi="Times New Roman" w:cs="Times New Roman" w:eastAsia="Times New Roman"/>
                <w:sz w:val="24"/>
                <w:szCs w:val="24"/>
              </w:rPr>
              <w:t>+1 пайыздық тармақ</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Қор сомасы өскенімен, активтердегі үлесі азайған. Бұл абсолюттік өсім мен құрылым өзгерісінің әртүрлі құбылыс екенін көрсетеді. 25%-дан 24%-ға төмендеу 1 пайыздық тармаққа тең; салыстырмалы төмендеу 4% болады. Осы екі өлшемді ажырату қажет.</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Трендтік және салыстырмалы талдау</w:t>
      </w:r>
    </w:p>
    <w:p>
      <w:pPr>
        <w:ind w:firstLine="709"/>
        <w:jc w:val="both"/>
        <w:rPr>
          <w:szCs w:val="24"/>
        </w:rPr>
      </w:pPr>
      <w:r>
        <w:rPr>
          <w:rFonts w:ascii="Times New Roman" w:hAnsi="Times New Roman" w:cs="Times New Roman" w:eastAsia="Times New Roman"/>
          <w:sz w:val="24"/>
          <w:szCs w:val="24"/>
        </w:rPr>
        <w:t>Трендтік талдау бірнеше кезеңдегі бағытты зерттейді. Егер сату 2025 жылы 2 000, 2026 жылы 2 400, 2027 жылы 3 000 болса, 2025 жылға қатысты индекстер 100%, 120%, 150%. Бұл қатар ұзақ мерзімді бағытты көрсетуге көмектеседі, бірақ үш мәннен дәл болашақ болжам жасауға болмайды.</w:t>
      </w:r>
    </w:p>
    <w:p>
      <w:pPr>
        <w:ind w:firstLine="709"/>
        <w:jc w:val="both"/>
        <w:rPr>
          <w:szCs w:val="24"/>
        </w:rPr>
      </w:pPr>
      <w:r>
        <w:rPr>
          <w:rFonts w:ascii="Times New Roman" w:hAnsi="Times New Roman" w:cs="Times New Roman" w:eastAsia="Times New Roman"/>
          <w:sz w:val="24"/>
          <w:szCs w:val="24"/>
        </w:rPr>
        <w:t>Салыстырмалы талдауда ұйым жоспарымен, бәсекелеспен немесе салалық көрсеткішпен салыстырылады. Қызмет түрі, есеп саясаты, маусымдылық және қаржыландыру үлгісі ұқсас болуы тиіс. Өндірістік ұйымның қор үлесін кеңес беру компаниясымен салыстыру көбіне мазмұнсыз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Факторлық талдаудың қарапайым мысалы</w:t>
      </w:r>
    </w:p>
    <w:p>
      <w:pPr>
        <w:ind w:firstLine="709"/>
        <w:jc w:val="both"/>
        <w:rPr>
          <w:szCs w:val="24"/>
        </w:rPr>
      </w:pPr>
      <w:r>
        <w:rPr>
          <w:rFonts w:ascii="Times New Roman" w:hAnsi="Times New Roman" w:cs="Times New Roman" w:eastAsia="Times New Roman"/>
          <w:sz w:val="24"/>
          <w:szCs w:val="24"/>
        </w:rPr>
        <w:t>Сату кірісін көлем мен бағаға жіктейік. Базалық кезеңде 100 дана өнім 20 мың теңгеден сатылып, кіріс 2 000 мың болды. Ағымдағы кезеңде 120 дана 22 мың теңгеден сатылып, кіріс 2 640 мың болды. Жалпы өзгеріс 640 мың теңге.</w:t>
      </w:r>
    </w:p>
    <w:p>
      <w:pPr>
        <w:ind w:firstLine="709"/>
        <w:jc w:val="both"/>
        <w:rPr>
          <w:szCs w:val="24"/>
        </w:rPr>
      </w:pPr>
      <m:oMath>
        <m:r>
          <m:rPr>
            <m:nor/>
          </m:rPr>
          <w:rPr>
            <w:rFonts w:ascii="Times New Roman" w:hAnsi="Times New Roman"/>
            <w:sz w:val="22"/>
          </w:rPr>
          <m:t xml:space="preserve">Көлем әсері = (120 − 100) × 20 = 400</m:t>
        </m:r>
      </m:oMath>
    </w:p>
    <w:p>
      <w:pPr>
        <w:ind w:firstLine="709"/>
        <w:jc w:val="both"/>
        <w:rPr>
          <w:szCs w:val="24"/>
        </w:rPr>
      </w:pPr>
      <m:oMath>
        <m:r>
          <m:rPr>
            <m:nor/>
          </m:rPr>
          <w:rPr>
            <w:rFonts w:ascii="Times New Roman" w:hAnsi="Times New Roman"/>
            <w:sz w:val="22"/>
          </w:rPr>
          <m:t xml:space="preserve">Баға әсері = 120 × (22 − 20) = 240</m:t>
        </m:r>
      </m:oMath>
    </w:p>
    <w:p>
      <w:pPr>
        <w:ind w:firstLine="709"/>
        <w:jc w:val="both"/>
        <w:rPr>
          <w:szCs w:val="24"/>
        </w:rPr>
      </w:pPr>
      <m:oMath>
        <m:r>
          <m:rPr>
            <m:nor/>
          </m:rPr>
          <w:rPr>
            <w:rFonts w:ascii="Times New Roman" w:hAnsi="Times New Roman"/>
            <w:sz w:val="22"/>
          </w:rPr>
          <m:t xml:space="preserve">Жалпы өзгеріс = 400 + 240 = 640</m:t>
        </m:r>
      </m:oMath>
    </w:p>
    <w:p>
      <w:pPr>
        <w:ind w:firstLine="709"/>
        <w:jc w:val="both"/>
        <w:rPr>
          <w:szCs w:val="24"/>
        </w:rPr>
      </w:pPr>
      <w:r>
        <w:rPr>
          <w:rFonts w:ascii="Times New Roman" w:hAnsi="Times New Roman" w:cs="Times New Roman" w:eastAsia="Times New Roman"/>
          <w:sz w:val="24"/>
          <w:szCs w:val="24"/>
        </w:rPr>
        <w:t>Бұл тізбекті алмастыруда алдымен көлем, кейін баға өзгертілді. Өзге алмастыру реттілігі өзара әсерді факторлар арасында басқаша бөлуі мүмкін, бірақ жиынтық өзгеріс сақталуы тиіс. Факторлық үлес математикалық модельдің нәтижесі; оны тәжірибелік тексерусіз толық себеп-салдар дәлелі деп қабылдамаймыз.</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Коэффициенттік талдау</w:t>
      </w:r>
    </w:p>
    <w:p>
      <w:pPr>
        <w:ind w:firstLine="709"/>
        <w:jc w:val="both"/>
        <w:rPr>
          <w:szCs w:val="24"/>
        </w:rPr>
      </w:pPr>
      <w:r>
        <w:rPr>
          <w:rFonts w:ascii="Times New Roman" w:hAnsi="Times New Roman" w:cs="Times New Roman" w:eastAsia="Times New Roman"/>
          <w:sz w:val="24"/>
          <w:szCs w:val="24"/>
        </w:rPr>
        <w:t>Коэффициент екі экономикалық байланысты шаманы салыстырады. Мысалы, қысқа мерзімді актив пен міндеттеме өтімділікті, пайда мен сату таза маржаны сипаттайды. Өлшем бірліктері бірдей болса, қатынас өлшемсіз сан немесе пайыз болып шығады.</w:t>
      </w:r>
    </w:p>
    <w:p>
      <w:pPr>
        <w:ind w:firstLine="709"/>
        <w:jc w:val="both"/>
        <w:rPr>
          <w:szCs w:val="24"/>
        </w:rPr>
      </w:pPr>
      <w:r>
        <w:rPr>
          <w:rFonts w:ascii="Times New Roman" w:hAnsi="Times New Roman" w:cs="Times New Roman" w:eastAsia="Times New Roman"/>
          <w:sz w:val="24"/>
          <w:szCs w:val="24"/>
        </w:rPr>
        <w:t>Нәтижені кемінде үш қырынан түсіндіреміз: уақыт бойынша өзгерісі, салыстыру базасы және құрамындағы деректердің сапасы. Жоғары коэффициент әрдайым жақсы емес: артық ақша немесе жиналған қор ресурстың тиімсіз қолданылуын да көрсетуі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Өсу мен өсім қарқынын шатастыру.</w:t>
      </w:r>
    </w:p>
    <w:p>
      <w:pPr>
        <w:pStyle w:val="a0"/>
        <w:tabs>
          <w:tab w:val="left" w:pos="1134"/>
        </w:tabs>
        <w:ind w:firstLine="491"/>
        <w:jc w:val="both"/>
        <w:rPr>
          <w:szCs w:val="24"/>
        </w:rPr>
      </w:pPr>
      <w:r>
        <w:rPr>
          <w:rFonts w:ascii="Times New Roman" w:hAnsi="Times New Roman" w:cs="Times New Roman" w:eastAsia="Times New Roman"/>
          <w:sz w:val="24"/>
          <w:szCs w:val="24"/>
        </w:rPr>
        <w:t>Пайыздық тармақты салыстырмалы пайызбен алмастыру.</w:t>
      </w:r>
    </w:p>
    <w:p>
      <w:pPr>
        <w:pStyle w:val="a0"/>
        <w:tabs>
          <w:tab w:val="left" w:pos="1134"/>
        </w:tabs>
        <w:ind w:firstLine="491"/>
        <w:jc w:val="both"/>
        <w:rPr>
          <w:szCs w:val="24"/>
        </w:rPr>
      </w:pPr>
      <w:r>
        <w:rPr>
          <w:rFonts w:ascii="Times New Roman" w:hAnsi="Times New Roman" w:cs="Times New Roman" w:eastAsia="Times New Roman"/>
          <w:sz w:val="24"/>
          <w:szCs w:val="24"/>
        </w:rPr>
        <w:t>Құрылым үлесінің азаюын соманың азаюы деп қабылдау.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Көлденең және тік талдау қандай сұрақтарға жауап береді?</w:t>
      </w:r>
    </w:p>
    <w:p>
      <w:pPr>
        <w:spacing w:after="80"/>
        <w:ind w:left="170" w:firstLine="709"/>
        <w:jc w:val="both"/>
        <w:rPr>
          <w:szCs w:val="24"/>
        </w:rPr>
      </w:pPr>
      <w:r>
        <w:rPr>
          <w:rFonts w:ascii="Times New Roman" w:hAnsi="Times New Roman" w:cs="Times New Roman" w:eastAsia="Times New Roman"/>
          <w:sz w:val="24"/>
          <w:szCs w:val="24"/>
        </w:rPr>
        <w:t>2. Нөлдік базада пайыздық өсім неге есептелмейді?</w:t>
      </w:r>
    </w:p>
    <w:p>
      <w:pPr>
        <w:spacing w:after="80"/>
        <w:ind w:left="170" w:firstLine="709"/>
        <w:jc w:val="both"/>
        <w:rPr>
          <w:szCs w:val="24"/>
        </w:rPr>
      </w:pPr>
      <w:r>
        <w:rPr>
          <w:rFonts w:ascii="Times New Roman" w:hAnsi="Times New Roman" w:cs="Times New Roman" w:eastAsia="Times New Roman"/>
          <w:sz w:val="24"/>
          <w:szCs w:val="24"/>
        </w:rPr>
        <w:t>3. Факторлық әсерлердің қосындысы немен тең болуы тиіс?</w:t>
      </w:r>
    </w:p>
    <w:p>
      <w:pPr>
        <w:spacing w:after="80"/>
        <w:ind w:left="170" w:firstLine="709"/>
        <w:jc w:val="both"/>
        <w:rPr>
          <w:szCs w:val="24"/>
        </w:rPr>
      </w:pPr>
      <w:r>
        <w:rPr>
          <w:rFonts w:ascii="Times New Roman" w:hAnsi="Times New Roman" w:cs="Times New Roman" w:eastAsia="Times New Roman"/>
          <w:sz w:val="24"/>
          <w:szCs w:val="24"/>
        </w:rPr>
        <w:t>4. Жоғары коэффициент неліктен әрдайым оң белгі емес?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Шығыс 800-ден 920-ға өсті, сату 2 000-нан 2 500-ге артты. Шығыс өсімі 15%, сату өсімі 25%. Шығыстың сатудағы үлесі 40%-дан 36,8%-ға, яғни 3,2 пайыздық тармаққа азайды.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[Ә8] Федотова, Е. С. Финансовый анализ : учебно-методическое пособие / Е. С. Федотова, О. Е. Ваганова. — Саратов : Саратовский государственный технический университет имени Ю.А. Гагарина, ЭБС АСВ, 2024. — 187 c. — ISBN 978-5-7433-3508-4.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[Ә9] Ваганова, О. Е. Финансовый анализ : учебно-методическое пособие (Сборник заданий к практическим занятиям) / О. Е. Ваганова, Е. С. Федотова. — Саратов : Саратовский государственный технический университет имени Ю.А. Гагарина, ЭБС АСВ, 2023. — 176 c. — ISBN 978-5-7433-3545-9. — Текст : электронный // Цифровой образовательный ресурс IPR SMART : [сайт]. </w:t>
      </w:r>
      <w:hyperlink r:id="rId16">
        <w:r>
          <w:rPr>
            <w:rFonts w:ascii="Times New Roman" w:hAnsi="Times New Roman" w:cs="Times New Roman" w:eastAsia="Times New Roman"/>
            <w:u w:val="single"/>
            <w:color w:val="000000"/>
            <w:sz w:val="24"/>
            <w:szCs w:val="24"/>
          </w:rPr>
          <w:t>Электрондық каталог</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7709.html" TargetMode="External"/><Relationship Id="rId16" Type="http://schemas.openxmlformats.org/officeDocument/2006/relationships/hyperlink" Target="https://www.iprbookshop.ru/1380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талдау әдістері</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