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11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Қаржылық талдаудың ақпараттық базасы</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Талдауға жарамды дерек көздерін таңдау, салыстырмалылықты тексеру және бастапқы балансты талдамалық түрде топтастыру.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Ақпарат көздерінің құрамы; Деректі қолдануға дейін тексеру; Неліктен агрегатталған баланс керек; Қалдық пен ағынды сәйкестендіру; Ақпараттың сапасы мен шектеулерін тіркеу.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Ақпарат көздерінің құрамы</w:t>
      </w:r>
    </w:p>
    <w:p>
      <w:pPr>
        <w:ind w:firstLine="709"/>
        <w:jc w:val="both"/>
        <w:rPr>
          <w:szCs w:val="24"/>
        </w:rPr>
      </w:pPr>
      <w:r>
        <w:rPr>
          <w:rFonts w:ascii="Times New Roman" w:hAnsi="Times New Roman" w:cs="Times New Roman" w:eastAsia="Times New Roman"/>
          <w:sz w:val="24"/>
          <w:szCs w:val="24"/>
        </w:rPr>
        <w:t>Негізгі сыртқы дерек — ұйымның толық қаржылық есептілігі мен ескертпелері. Оған аудиторлық қорытынды, жылдық есеп, салалық статистика және нарықтық ақпарат қосылуы мүмкін. Ішкі талдауда басқарушылық есеп, бюджет, шарттар, қойма және клиенттер бойынша деректер пайдаланылады. Дерек көзі талдау сұрағына сәйкес таңдалады.</w:t>
      </w:r>
    </w:p>
    <w:p>
      <w:pPr>
        <w:ind w:firstLine="709"/>
        <w:jc w:val="both"/>
        <w:rPr>
          <w:szCs w:val="24"/>
        </w:rPr>
      </w:pPr>
      <w:r>
        <w:rPr>
          <w:rFonts w:ascii="Times New Roman" w:hAnsi="Times New Roman" w:cs="Times New Roman" w:eastAsia="Times New Roman"/>
          <w:sz w:val="24"/>
          <w:szCs w:val="24"/>
        </w:rPr>
        <w:t>Пайда туралы есеп пен балансты ескертпесіз пайдалану ақпаратты кедейлетеді. Мысалы, дебиторлық берешектің жиынтық сомасы оның мерзімі өткен бөлігін көрсетпейді. Қарыздың жалпы сомасы пайыз мөлшерлемесі, валюта және өтеу кестесі туралы толық ақпарат бермейді. Қысқа жолдың артында тәуекелдің әртүрлі түрі болуы мүмкін.</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Деректі қолдануға дейін тексеру</w:t>
      </w:r>
    </w:p>
    <w:p>
      <w:pPr>
        <w:ind w:firstLine="709"/>
        <w:jc w:val="both"/>
        <w:rPr>
          <w:szCs w:val="24"/>
        </w:rPr>
      </w:pPr>
      <w:r>
        <w:rPr>
          <w:rFonts w:ascii="Times New Roman" w:hAnsi="Times New Roman" w:cs="Times New Roman" w:eastAsia="Times New Roman"/>
          <w:sz w:val="24"/>
          <w:szCs w:val="24"/>
        </w:rPr>
        <w:t>Алдымен ұйымның шекарасы анықталады: бұл жеке компанияның есебі ме, әлде топтың шоғырландырылған есебі ме? Содан кейін кезең, валюта, өлшем бірлігі, есеп саясаты және қайта есептелген салыстырмалы сомалар тексеріледі. Бір жылды мың теңгемен, екіншісін миллион теңгемен салыстыру 1 000 есе жалған өзгеріс береді.</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976"/>
        <w:gridCol w:w="5491"/>
      </w:tblGrid>
      <w:tr>
        <w:trPr>
          <w:tblHeader/>
          <w:cantSplit/>
        </w:trPr>
        <w:tc>
          <w:tcPr>
            <w:tcW w:type="dxa" w:w="3976"/>
            <w:vAlign w:val="center"/>
            <w:shd w:fill="E9EEF4"/>
          </w:tcPr>
          <w:p>
            <w:pPr>
              <w:spacing w:line="252" w:lineRule="auto" w:after="20"/>
            </w:pPr>
            <w:r>
              <w:rPr>
                <w:rFonts w:ascii="Times New Roman" w:hAnsi="Times New Roman" w:cs="Times New Roman" w:eastAsia="Times New Roman"/>
                <w:b/>
                <w:sz w:val="24"/>
                <w:szCs w:val="24"/>
              </w:rPr>
              <w:t>Тексеру</w:t>
            </w:r>
          </w:p>
        </w:tc>
        <w:tc>
          <w:tcPr>
            <w:tcW w:type="dxa" w:w="5491"/>
            <w:vAlign w:val="center"/>
            <w:shd w:fill="E9EEF4"/>
          </w:tcPr>
          <w:p>
            <w:pPr>
              <w:spacing w:line="252" w:lineRule="auto" w:after="20"/>
            </w:pPr>
            <w:r>
              <w:rPr>
                <w:rFonts w:ascii="Times New Roman" w:hAnsi="Times New Roman" w:cs="Times New Roman" w:eastAsia="Times New Roman"/>
                <w:b/>
                <w:sz w:val="24"/>
                <w:szCs w:val="24"/>
              </w:rPr>
              <w:t>Дерекке қойылатын сұрақ</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Қамту шекарасы</w:t>
            </w:r>
          </w:p>
        </w:tc>
        <w:tc>
          <w:tcPr>
            <w:tcW w:type="dxa" w:w="5491"/>
            <w:vAlign w:val="center"/>
          </w:tcPr>
          <w:p>
            <w:pPr>
              <w:spacing w:line="252" w:lineRule="auto" w:after="20"/>
            </w:pPr>
            <w:r>
              <w:rPr>
                <w:rFonts w:ascii="Times New Roman" w:hAnsi="Times New Roman" w:cs="Times New Roman" w:eastAsia="Times New Roman"/>
                <w:sz w:val="24"/>
                <w:szCs w:val="24"/>
              </w:rPr>
              <w:t>Бірдей ұйым немесе топ салыстырылып отыр ма</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Кезең</w:t>
            </w:r>
          </w:p>
        </w:tc>
        <w:tc>
          <w:tcPr>
            <w:tcW w:type="dxa" w:w="5491"/>
            <w:vAlign w:val="center"/>
          </w:tcPr>
          <w:p>
            <w:pPr>
              <w:spacing w:line="252" w:lineRule="auto" w:after="20"/>
            </w:pPr>
            <w:r>
              <w:rPr>
                <w:rFonts w:ascii="Times New Roman" w:hAnsi="Times New Roman" w:cs="Times New Roman" w:eastAsia="Times New Roman"/>
                <w:sz w:val="24"/>
                <w:szCs w:val="24"/>
              </w:rPr>
              <w:t>Толық жыл ма, аралық кезең бе</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Өлшем</w:t>
            </w:r>
          </w:p>
        </w:tc>
        <w:tc>
          <w:tcPr>
            <w:tcW w:type="dxa" w:w="5491"/>
            <w:vAlign w:val="center"/>
          </w:tcPr>
          <w:p>
            <w:pPr>
              <w:spacing w:line="252" w:lineRule="auto" w:after="20"/>
            </w:pPr>
            <w:r>
              <w:rPr>
                <w:rFonts w:ascii="Times New Roman" w:hAnsi="Times New Roman" w:cs="Times New Roman" w:eastAsia="Times New Roman"/>
                <w:sz w:val="24"/>
                <w:szCs w:val="24"/>
              </w:rPr>
              <w:t>Теңге, мың теңге не миллион теңге ме</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Әдіс</w:t>
            </w:r>
          </w:p>
        </w:tc>
        <w:tc>
          <w:tcPr>
            <w:tcW w:type="dxa" w:w="5491"/>
            <w:vAlign w:val="center"/>
          </w:tcPr>
          <w:p>
            <w:pPr>
              <w:spacing w:line="252" w:lineRule="auto" w:after="20"/>
            </w:pPr>
            <w:r>
              <w:rPr>
                <w:rFonts w:ascii="Times New Roman" w:hAnsi="Times New Roman" w:cs="Times New Roman" w:eastAsia="Times New Roman"/>
                <w:sz w:val="24"/>
                <w:szCs w:val="24"/>
              </w:rPr>
              <w:t>Бағалау саясаты өзгерді ме</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Қайта есептеу</w:t>
            </w:r>
          </w:p>
        </w:tc>
        <w:tc>
          <w:tcPr>
            <w:tcW w:type="dxa" w:w="5491"/>
            <w:vAlign w:val="center"/>
          </w:tcPr>
          <w:p>
            <w:pPr>
              <w:spacing w:line="252" w:lineRule="auto" w:after="20"/>
            </w:pPr>
            <w:r>
              <w:rPr>
                <w:rFonts w:ascii="Times New Roman" w:hAnsi="Times New Roman" w:cs="Times New Roman" w:eastAsia="Times New Roman"/>
                <w:sz w:val="24"/>
                <w:szCs w:val="24"/>
              </w:rPr>
              <w:t>Соңғы жарияланған салыстырмалы дерек қолданылды ма</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Сапа</w:t>
            </w:r>
          </w:p>
        </w:tc>
        <w:tc>
          <w:tcPr>
            <w:tcW w:type="dxa" w:w="5491"/>
            <w:vAlign w:val="center"/>
          </w:tcPr>
          <w:p>
            <w:pPr>
              <w:spacing w:line="252" w:lineRule="auto" w:after="20"/>
            </w:pPr>
            <w:r>
              <w:rPr>
                <w:rFonts w:ascii="Times New Roman" w:hAnsi="Times New Roman" w:cs="Times New Roman" w:eastAsia="Times New Roman"/>
                <w:sz w:val="24"/>
                <w:szCs w:val="24"/>
              </w:rPr>
              <w:t>Аудитор пікірінде шектеу не ескерту бар ма</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Аудиторлық пікір есептіліктің дұрыстығын бағалауда маңызды, бірақ болашақтағы табысқа кепілдік бермейді. Ескертпелі пікірдің нақты себебі талданады; тек «аудиттен өткен» деген белгіге сүйену жеткіліксіз.</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Неліктен агрегатталған баланс керек</w:t>
      </w:r>
    </w:p>
    <w:p>
      <w:pPr>
        <w:ind w:firstLine="709"/>
        <w:jc w:val="both"/>
        <w:rPr>
          <w:szCs w:val="24"/>
        </w:rPr>
      </w:pPr>
      <w:r>
        <w:rPr>
          <w:rFonts w:ascii="Times New Roman" w:hAnsi="Times New Roman" w:cs="Times New Roman" w:eastAsia="Times New Roman"/>
          <w:sz w:val="24"/>
          <w:szCs w:val="24"/>
        </w:rPr>
        <w:t>Агрегаттау — біртекті баптарды талдауға ыңғайлы топтарға біріктіру. Мысалы, бірнеше қор түрін бір қор тобына, несие түрлерін мерзіміне қарай екі топқа жинауға болады. Бұл есептілікті өзгертпейді, талдамалық көрініс жасайды. Бастапқы бап пен жаңа топ арасындағы сәйкестік сақталуы тиіс.</w:t>
      </w:r>
    </w:p>
    <w:p>
      <w:pPr>
        <w:ind w:firstLine="709"/>
        <w:jc w:val="both"/>
        <w:rPr>
          <w:szCs w:val="24"/>
        </w:rPr>
      </w:pPr>
      <w:r>
        <w:rPr>
          <w:rFonts w:ascii="Times New Roman" w:hAnsi="Times New Roman" w:cs="Times New Roman" w:eastAsia="Times New Roman"/>
          <w:sz w:val="24"/>
          <w:szCs w:val="24"/>
        </w:rPr>
        <w:t>«АрнаӨндіріс» мысалында қысқа мерзімді активтер 1 240: ақша 240, берешек 400, қор 600. Ұзақ мерзімді активтер 1 260. Қысқа мерзімді міндеттемелер 500, ұзақ мерзімді міндеттемелер 650, капитал 1 350 мың теңге. Осы топтар өтімділік пен қаржыландыру құрылымын есептеуге жеткілікті бастапқы көрініс береді.</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Талдамалық топ</w:t>
            </w:r>
          </w:p>
        </w:tc>
        <w:tc>
          <w:tcPr>
            <w:tcW w:type="dxa" w:w="3219"/>
            <w:vAlign w:val="center"/>
            <w:shd w:fill="E9EEF4"/>
          </w:tcPr>
          <w:p>
            <w:pPr>
              <w:spacing w:line="252" w:lineRule="auto" w:after="20"/>
            </w:pPr>
            <w:r>
              <w:rPr>
                <w:rFonts w:ascii="Times New Roman" w:hAnsi="Times New Roman" w:cs="Times New Roman" w:eastAsia="Times New Roman"/>
                <w:b/>
                <w:sz w:val="24"/>
                <w:szCs w:val="24"/>
              </w:rPr>
              <w:t>2026</w:t>
            </w:r>
          </w:p>
        </w:tc>
        <w:tc>
          <w:tcPr>
            <w:tcW w:type="dxa" w:w="3219"/>
            <w:vAlign w:val="center"/>
            <w:shd w:fill="E9EEF4"/>
          </w:tcPr>
          <w:p>
            <w:pPr>
              <w:spacing w:line="252" w:lineRule="auto" w:after="20"/>
            </w:pPr>
            <w:r>
              <w:rPr>
                <w:rFonts w:ascii="Times New Roman" w:hAnsi="Times New Roman" w:cs="Times New Roman" w:eastAsia="Times New Roman"/>
                <w:b/>
                <w:sz w:val="24"/>
                <w:szCs w:val="24"/>
              </w:rPr>
              <w:t>2027</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Қысқа мерзімді активтер</w:t>
            </w:r>
          </w:p>
        </w:tc>
        <w:tc>
          <w:tcPr>
            <w:tcW w:type="dxa" w:w="3219"/>
            <w:vAlign w:val="center"/>
          </w:tcPr>
          <w:p>
            <w:pPr>
              <w:spacing w:line="252" w:lineRule="auto" w:after="20"/>
              <w:jc w:val="center"/>
            </w:pPr>
            <w:r>
              <w:rPr>
                <w:rFonts w:ascii="Times New Roman" w:hAnsi="Times New Roman" w:cs="Times New Roman" w:eastAsia="Times New Roman"/>
                <w:sz w:val="24"/>
                <w:szCs w:val="24"/>
              </w:rPr>
              <w:t>1 000</w:t>
            </w:r>
          </w:p>
        </w:tc>
        <w:tc>
          <w:tcPr>
            <w:tcW w:type="dxa" w:w="3219"/>
            <w:vAlign w:val="center"/>
          </w:tcPr>
          <w:p>
            <w:pPr>
              <w:spacing w:line="252" w:lineRule="auto" w:after="20"/>
              <w:jc w:val="center"/>
            </w:pPr>
            <w:r>
              <w:rPr>
                <w:rFonts w:ascii="Times New Roman" w:hAnsi="Times New Roman" w:cs="Times New Roman" w:eastAsia="Times New Roman"/>
                <w:sz w:val="24"/>
                <w:szCs w:val="24"/>
              </w:rPr>
              <w:t>1 240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Ұзақ мерзімді активтер</w:t>
            </w:r>
          </w:p>
        </w:tc>
        <w:tc>
          <w:tcPr>
            <w:tcW w:type="dxa" w:w="3219"/>
            <w:vAlign w:val="center"/>
          </w:tcPr>
          <w:p>
            <w:pPr>
              <w:spacing w:line="252" w:lineRule="auto" w:after="20"/>
              <w:jc w:val="center"/>
            </w:pPr>
            <w:r>
              <w:rPr>
                <w:rFonts w:ascii="Times New Roman" w:hAnsi="Times New Roman" w:cs="Times New Roman" w:eastAsia="Times New Roman"/>
                <w:sz w:val="24"/>
                <w:szCs w:val="24"/>
              </w:rPr>
              <w:t>1 000</w:t>
            </w:r>
          </w:p>
        </w:tc>
        <w:tc>
          <w:tcPr>
            <w:tcW w:type="dxa" w:w="3219"/>
            <w:vAlign w:val="center"/>
          </w:tcPr>
          <w:p>
            <w:pPr>
              <w:spacing w:line="252" w:lineRule="auto" w:after="20"/>
              <w:jc w:val="center"/>
            </w:pPr>
            <w:r>
              <w:rPr>
                <w:rFonts w:ascii="Times New Roman" w:hAnsi="Times New Roman" w:cs="Times New Roman" w:eastAsia="Times New Roman"/>
                <w:sz w:val="24"/>
                <w:szCs w:val="24"/>
              </w:rPr>
              <w:t>1 260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Барлық активтер</w:t>
            </w:r>
          </w:p>
        </w:tc>
        <w:tc>
          <w:tcPr>
            <w:tcW w:type="dxa" w:w="3219"/>
            <w:vAlign w:val="center"/>
          </w:tcPr>
          <w:p>
            <w:pPr>
              <w:spacing w:line="252" w:lineRule="auto" w:after="20"/>
              <w:jc w:val="center"/>
            </w:pPr>
            <w:r>
              <w:rPr>
                <w:rFonts w:ascii="Times New Roman" w:hAnsi="Times New Roman" w:cs="Times New Roman" w:eastAsia="Times New Roman"/>
                <w:sz w:val="24"/>
                <w:szCs w:val="24"/>
              </w:rPr>
              <w:t>2 000</w:t>
            </w:r>
          </w:p>
        </w:tc>
        <w:tc>
          <w:tcPr>
            <w:tcW w:type="dxa" w:w="3219"/>
            <w:vAlign w:val="center"/>
          </w:tcPr>
          <w:p>
            <w:pPr>
              <w:spacing w:line="252" w:lineRule="auto" w:after="20"/>
              <w:jc w:val="center"/>
            </w:pPr>
            <w:r>
              <w:rPr>
                <w:rFonts w:ascii="Times New Roman" w:hAnsi="Times New Roman" w:cs="Times New Roman" w:eastAsia="Times New Roman"/>
                <w:sz w:val="24"/>
                <w:szCs w:val="24"/>
              </w:rPr>
              <w:t>2 500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Қысқа мерзімді міндеттемелер</w:t>
            </w:r>
          </w:p>
        </w:tc>
        <w:tc>
          <w:tcPr>
            <w:tcW w:type="dxa" w:w="3219"/>
            <w:vAlign w:val="center"/>
          </w:tcPr>
          <w:p>
            <w:pPr>
              <w:spacing w:line="252" w:lineRule="auto" w:after="20"/>
              <w:jc w:val="center"/>
            </w:pPr>
            <w:r>
              <w:rPr>
                <w:rFonts w:ascii="Times New Roman" w:hAnsi="Times New Roman" w:cs="Times New Roman" w:eastAsia="Times New Roman"/>
                <w:sz w:val="24"/>
                <w:szCs w:val="24"/>
              </w:rPr>
              <w:t>400</w:t>
            </w:r>
          </w:p>
        </w:tc>
        <w:tc>
          <w:tcPr>
            <w:tcW w:type="dxa" w:w="3219"/>
            <w:vAlign w:val="center"/>
          </w:tcPr>
          <w:p>
            <w:pPr>
              <w:spacing w:line="252" w:lineRule="auto" w:after="20"/>
              <w:jc w:val="center"/>
            </w:pPr>
            <w:r>
              <w:rPr>
                <w:rFonts w:ascii="Times New Roman" w:hAnsi="Times New Roman" w:cs="Times New Roman" w:eastAsia="Times New Roman"/>
                <w:sz w:val="24"/>
                <w:szCs w:val="24"/>
              </w:rPr>
              <w:t>500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Ұзақ мерзімді міндеттемелер</w:t>
            </w:r>
          </w:p>
        </w:tc>
        <w:tc>
          <w:tcPr>
            <w:tcW w:type="dxa" w:w="3219"/>
            <w:vAlign w:val="center"/>
          </w:tcPr>
          <w:p>
            <w:pPr>
              <w:spacing w:line="252" w:lineRule="auto" w:after="20"/>
              <w:jc w:val="center"/>
            </w:pPr>
            <w:r>
              <w:rPr>
                <w:rFonts w:ascii="Times New Roman" w:hAnsi="Times New Roman" w:cs="Times New Roman" w:eastAsia="Times New Roman"/>
                <w:sz w:val="24"/>
                <w:szCs w:val="24"/>
              </w:rPr>
              <w:t>500</w:t>
            </w:r>
          </w:p>
        </w:tc>
        <w:tc>
          <w:tcPr>
            <w:tcW w:type="dxa" w:w="3219"/>
            <w:vAlign w:val="center"/>
          </w:tcPr>
          <w:p>
            <w:pPr>
              <w:spacing w:line="252" w:lineRule="auto" w:after="20"/>
              <w:jc w:val="center"/>
            </w:pPr>
            <w:r>
              <w:rPr>
                <w:rFonts w:ascii="Times New Roman" w:hAnsi="Times New Roman" w:cs="Times New Roman" w:eastAsia="Times New Roman"/>
                <w:sz w:val="24"/>
                <w:szCs w:val="24"/>
              </w:rPr>
              <w:t>650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Капитал</w:t>
            </w:r>
          </w:p>
        </w:tc>
        <w:tc>
          <w:tcPr>
            <w:tcW w:type="dxa" w:w="3219"/>
            <w:vAlign w:val="center"/>
          </w:tcPr>
          <w:p>
            <w:pPr>
              <w:spacing w:line="252" w:lineRule="auto" w:after="20"/>
              <w:jc w:val="center"/>
            </w:pPr>
            <w:r>
              <w:rPr>
                <w:rFonts w:ascii="Times New Roman" w:hAnsi="Times New Roman" w:cs="Times New Roman" w:eastAsia="Times New Roman"/>
                <w:sz w:val="24"/>
                <w:szCs w:val="24"/>
              </w:rPr>
              <w:t>1 100</w:t>
            </w:r>
          </w:p>
        </w:tc>
        <w:tc>
          <w:tcPr>
            <w:tcW w:type="dxa" w:w="3219"/>
            <w:vAlign w:val="center"/>
          </w:tcPr>
          <w:p>
            <w:pPr>
              <w:spacing w:line="252" w:lineRule="auto" w:after="20"/>
              <w:jc w:val="center"/>
            </w:pPr>
            <w:r>
              <w:rPr>
                <w:rFonts w:ascii="Times New Roman" w:hAnsi="Times New Roman" w:cs="Times New Roman" w:eastAsia="Times New Roman"/>
                <w:sz w:val="24"/>
                <w:szCs w:val="24"/>
              </w:rPr>
              <w:t>1 350</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Екі жылда да активтің жиынтығы қаржыландыру көздерінің жиынтығына тең. Егер агрегаттау кезінде айырма пайда болса, бір бап түсіп қалған, қайталанған немесе белгісі қате алынған болуы мүмкін.</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Қалдық пен ағынды сәйкестендіру</w:t>
      </w:r>
    </w:p>
    <w:p>
      <w:pPr>
        <w:ind w:firstLine="709"/>
        <w:jc w:val="both"/>
        <w:rPr>
          <w:szCs w:val="24"/>
        </w:rPr>
      </w:pPr>
      <w:r>
        <w:rPr>
          <w:rFonts w:ascii="Times New Roman" w:hAnsi="Times New Roman" w:cs="Times New Roman" w:eastAsia="Times New Roman"/>
          <w:sz w:val="24"/>
          <w:szCs w:val="24"/>
        </w:rPr>
        <w:t>Баланс — нақты күндегі қалдық, ал кіріс пен пайда — кезеңдік ағын. Жылдық сату айналымын активтермен салыстырғанда, мүмкіндік болса орташа активтер қолданылады. Жыл басындағы 2 000 мен соңындағы 2 500-дің қарапайым ортасы 2 250 болады. Бірақ маусымдық ауытқу күшті болса, айлық немесе тоқсандық орташа көрсеткіш жақсырақ ақпарат береді.</w:t>
      </w:r>
    </w:p>
    <w:p>
      <w:pPr>
        <w:ind w:firstLine="709"/>
        <w:jc w:val="both"/>
        <w:rPr>
          <w:szCs w:val="24"/>
        </w:rPr>
      </w:pPr>
      <m:oMath>
        <m:r>
          <m:rPr>
            <m:nor/>
          </m:rPr>
          <w:rPr>
            <w:rFonts w:ascii="Times New Roman" w:hAnsi="Times New Roman"/>
            <w:sz w:val="22"/>
          </w:rPr>
          <m:t xml:space="preserve">Орташа активтер = (2 000 + 2 500) ÷ 2 = 2 250</m:t>
        </m:r>
      </m:oMath>
    </w:p>
    <w:p>
      <w:pPr>
        <w:ind w:firstLine="709"/>
        <w:jc w:val="both"/>
        <w:rPr>
          <w:szCs w:val="24"/>
        </w:rPr>
      </w:pPr>
      <w:r>
        <w:rPr>
          <w:rFonts w:ascii="Times New Roman" w:hAnsi="Times New Roman" w:cs="Times New Roman" w:eastAsia="Times New Roman"/>
          <w:sz w:val="24"/>
          <w:szCs w:val="24"/>
        </w:rPr>
        <w:t>Ағын мен қалдықты өлшем жағынан да сәйкестендіреміз. Жылдық кірісті үш айлық орташа активке байланыстыру немесе тоғыз айлық пайданы толық жылдық пайдадай пайдалану нәтижені бұрмалауы мүмкін. Аралық нәтижені жылға механикалық көбейткенде маусымдылық міндетті түрде ескеріледі.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Ақпараттың сапасы мен шектеулерін тіркеу</w:t>
      </w:r>
    </w:p>
    <w:p>
      <w:pPr>
        <w:ind w:firstLine="709"/>
        <w:jc w:val="both"/>
        <w:rPr>
          <w:szCs w:val="24"/>
        </w:rPr>
      </w:pPr>
      <w:r>
        <w:rPr>
          <w:rFonts w:ascii="Times New Roman" w:hAnsi="Times New Roman" w:cs="Times New Roman" w:eastAsia="Times New Roman"/>
          <w:sz w:val="24"/>
          <w:szCs w:val="24"/>
        </w:rPr>
        <w:t>Талдаудың жұмыс парағында дерек көзі, алынған күні, кезеңі, өлшем бірлігі және жасалған қайта жіктеу көрсетіледі. Бұл кейін есепті жаңартуға және тексеруге мүмкіндік береді. Өзгертілген талдамалық көрсеткіш бастапқы есеппен салыстырылатын болуы керек.</w:t>
      </w:r>
    </w:p>
    <w:p>
      <w:pPr>
        <w:ind w:firstLine="709"/>
        <w:jc w:val="both"/>
        <w:rPr>
          <w:szCs w:val="24"/>
        </w:rPr>
      </w:pPr>
      <w:r>
        <w:rPr>
          <w:rFonts w:ascii="Times New Roman" w:hAnsi="Times New Roman" w:cs="Times New Roman" w:eastAsia="Times New Roman"/>
          <w:sz w:val="24"/>
          <w:szCs w:val="24"/>
        </w:rPr>
        <w:t>Қолжетімді ақпарат толық емес болса, нәтиженің шегі айтылады. Мысалы, сатудың несиеге берілген үлесі белгісіз болса, дебиторлық берешек айналымын жалпы кіріспен есептеу жуықтау болып саналады. Бұл жорамал қорытындыда жасырылмайды.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Шоғырландырылған және жеке есептерді қатар салыстыру.</w:t>
      </w:r>
    </w:p>
    <w:p>
      <w:pPr>
        <w:pStyle w:val="a0"/>
        <w:tabs>
          <w:tab w:val="left" w:pos="1134"/>
        </w:tabs>
        <w:ind w:firstLine="491"/>
        <w:jc w:val="both"/>
        <w:rPr>
          <w:szCs w:val="24"/>
        </w:rPr>
      </w:pPr>
      <w:r>
        <w:rPr>
          <w:rFonts w:ascii="Times New Roman" w:hAnsi="Times New Roman" w:cs="Times New Roman" w:eastAsia="Times New Roman"/>
          <w:sz w:val="24"/>
          <w:szCs w:val="24"/>
        </w:rPr>
        <w:t>Қайта есептелген сандардың орнына ескі нұсқаны алу.</w:t>
      </w:r>
    </w:p>
    <w:p>
      <w:pPr>
        <w:pStyle w:val="a0"/>
        <w:tabs>
          <w:tab w:val="left" w:pos="1134"/>
        </w:tabs>
        <w:ind w:firstLine="491"/>
        <w:jc w:val="both"/>
        <w:rPr>
          <w:szCs w:val="24"/>
        </w:rPr>
      </w:pPr>
      <w:r>
        <w:rPr>
          <w:rFonts w:ascii="Times New Roman" w:hAnsi="Times New Roman" w:cs="Times New Roman" w:eastAsia="Times New Roman"/>
          <w:sz w:val="24"/>
          <w:szCs w:val="24"/>
        </w:rPr>
        <w:t>Агрегаттау кезінде бапты екі рет қосу.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Ескертпелер талдаушыға қандай қосымша ақпарат береді?</w:t>
      </w:r>
    </w:p>
    <w:p>
      <w:pPr>
        <w:spacing w:after="80"/>
        <w:ind w:left="170" w:firstLine="709"/>
        <w:jc w:val="both"/>
        <w:rPr>
          <w:szCs w:val="24"/>
        </w:rPr>
      </w:pPr>
      <w:r>
        <w:rPr>
          <w:rFonts w:ascii="Times New Roman" w:hAnsi="Times New Roman" w:cs="Times New Roman" w:eastAsia="Times New Roman"/>
          <w:sz w:val="24"/>
          <w:szCs w:val="24"/>
        </w:rPr>
        <w:t>2. Агрегатталған баланс бастапқы балансты алмастыра ма?</w:t>
      </w:r>
    </w:p>
    <w:p>
      <w:pPr>
        <w:spacing w:after="80"/>
        <w:ind w:left="170" w:firstLine="709"/>
        <w:jc w:val="both"/>
        <w:rPr>
          <w:szCs w:val="24"/>
        </w:rPr>
      </w:pPr>
      <w:r>
        <w:rPr>
          <w:rFonts w:ascii="Times New Roman" w:hAnsi="Times New Roman" w:cs="Times New Roman" w:eastAsia="Times New Roman"/>
          <w:sz w:val="24"/>
          <w:szCs w:val="24"/>
        </w:rPr>
        <w:t>3. Қай жағдайда қарапайым орташа қалдық жеткіліксіз?</w:t>
      </w:r>
    </w:p>
    <w:p>
      <w:pPr>
        <w:spacing w:after="80"/>
        <w:ind w:left="170" w:firstLine="709"/>
        <w:jc w:val="both"/>
        <w:rPr>
          <w:szCs w:val="24"/>
        </w:rPr>
      </w:pPr>
      <w:r>
        <w:rPr>
          <w:rFonts w:ascii="Times New Roman" w:hAnsi="Times New Roman" w:cs="Times New Roman" w:eastAsia="Times New Roman"/>
          <w:sz w:val="24"/>
          <w:szCs w:val="24"/>
        </w:rPr>
        <w:t>4. Жорамал қолданылғанын неге көрсету керек?</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Алдыңғы жылғы актив 2,0 миллион теңге, ағымдағы актив 2 500 мың теңге. Бір өлшемге келтіргенде өсім 500 мың теңге немесе 25%. «2,0-ден 2 500-ге өсті» деген салыстыру дұрыс емес.</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5">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[Ә7] Спиридонов, С. П. Анализ бухгалтерской (финансовой) отчётности : учебное пособие / С. П. Спиридонов, В. И. Меньщикова, И. А. Андреева. — Тамбов : Тамбовский государственный технический университет, ЭБС АСВ, 2021. — 110 c. — ISBN 978-5-8265-2363-6. — Текст : электронный // Цифровой образовательный ресурс IPR SMART : [сайт]. </w:t>
      </w:r>
      <w:hyperlink r:id="rId16">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[Ә13] Савицкая Г.В. Анализ хозяйственной деятельности предприятия. - М.: Инфра-М, 2010. - 536 с.</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60"/>
        <w:ind w:firstLine="709"/>
        <w:jc w:val="both"/>
        <w:rPr>
          <w:szCs w:val="24"/>
        </w:rPr>
      </w:pPr>
      <w:r>
        <w:rPr>
          <w:rFonts w:ascii="Times New Roman" w:hAnsi="Times New Roman" w:cs="Times New Roman" w:eastAsia="Times New Roman"/>
          <w:sz w:val="24"/>
          <w:szCs w:val="24"/>
        </w:rPr>
        <w:t xml:space="preserve">[Н1] IFRS Foundation. Conceptual Framework for Financial Reporting. </w:t>
      </w:r>
      <w:hyperlink r:id="rId9">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[Н6] IFRS Foundation. IAS 1 Presentation of Financial Statements. </w:t>
      </w:r>
      <w:hyperlink r:id="rId17">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www.iprbookshop.ru/142664.html" TargetMode="External"/><Relationship Id="rId16" Type="http://schemas.openxmlformats.org/officeDocument/2006/relationships/hyperlink" Target="https://www.iprbookshop.ru/122962.html" TargetMode="External"/><Relationship Id="rId17" Type="http://schemas.openxmlformats.org/officeDocument/2006/relationships/hyperlink" Target="https://www.ifrs.org/issued-standards/list-of-standards/ias-1-presentation-of-financial-stat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Қаржылық талдаудың ақпараттық базасы</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