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10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Қаржыны басқару жүйесіндегі қаржылық талдау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Қаржылық талдаудың мақсатын нақтылау, оның басқарушылық шешіммен байланысын түсіндіру және дәлелді қорытынды жасау реттілігін меңгеру.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Қаржылық талдау деген не; Мақсат талдау бағытын қалай өзгертеді; Талдаудың қағидаттары мен кезеңдері; Басқарушылық қорытынды мысалы; Талдаудың шектеулері.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Қаржылық талдау деген не</w:t>
      </w:r>
    </w:p>
    <w:p>
      <w:pPr>
        <w:ind w:firstLine="709"/>
        <w:jc w:val="both"/>
        <w:rPr>
          <w:szCs w:val="24"/>
        </w:rPr>
      </w:pPr>
      <w:r>
        <w:rPr>
          <w:rFonts w:ascii="Times New Roman" w:hAnsi="Times New Roman" w:cs="Times New Roman" w:eastAsia="Times New Roman"/>
          <w:sz w:val="24"/>
          <w:szCs w:val="24"/>
        </w:rPr>
        <w:t>Қаржылық талдау — ұйымның қаржылық жағдайы мен нәтижелерін деректер арқылы зерттеп, өзгерістердің себептері мен шешім нұсқаларын анықтау. Ол коэффициент есептеумен шектелмейді. «Өтімділік 2,48» — есептеу нәтижесі ғана; ал «неге өзгерді, қарызды өтеуге көмектесе ме, қандай әрекет керек» деген сұрақтар талдаудың мазмұнын құрайды.</w:t>
      </w:r>
    </w:p>
    <w:p>
      <w:pPr>
        <w:ind w:firstLine="709"/>
        <w:jc w:val="both"/>
        <w:rPr>
          <w:szCs w:val="24"/>
        </w:rPr>
      </w:pPr>
      <w:r>
        <w:rPr>
          <w:rFonts w:ascii="Times New Roman" w:hAnsi="Times New Roman" w:cs="Times New Roman" w:eastAsia="Times New Roman"/>
          <w:sz w:val="24"/>
          <w:szCs w:val="24"/>
        </w:rPr>
        <w:t>Басқару циклі жоспарлау, орындау, бақылау және түзету әрекеттерінен тұрады. Талдау осы кезеңдерді байланыстырады. Жоспар кезінде қажетті қаржыландыру бағаланады, орындау кезінде ауытқу бақыланады, соңында себеп пен келесі әрекет анықталады. Нәтижесі қолданылмайтын көлемді есеп басқарушылық мақсатты орындамайды.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Мақсат талдау бағытын қалай өзгертеді</w:t>
      </w:r>
    </w:p>
    <w:p>
      <w:pPr>
        <w:ind w:firstLine="709"/>
        <w:jc w:val="both"/>
        <w:rPr>
          <w:szCs w:val="24"/>
        </w:rPr>
      </w:pPr>
      <w:r>
        <w:rPr>
          <w:rFonts w:ascii="Times New Roman" w:hAnsi="Times New Roman" w:cs="Times New Roman" w:eastAsia="Times New Roman"/>
          <w:sz w:val="24"/>
          <w:szCs w:val="24"/>
        </w:rPr>
        <w:t>Банк үшін басты сұрақ — негізгі қарыз бен пайыздың өтелуі. Инвестор үшін капиталдың табыстылығы мен тәуекелі маңызды. Өндіріс басшысы қордың жиналуын, жабдық тиімділігін және шығынды қарайды. Бір есептілік әртүрлі шешімге негіз бола алады, сондықтан тапсырма басында пайдаланушы, шешім, мерзім және дерек шекарасы анықталады.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Талдау бағыты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Негізгі мәселе</w:t>
            </w:r>
          </w:p>
        </w:tc>
        <w:tc>
          <w:tcPr>
            <w:tcW w:type="dxa" w:w="3219"/>
            <w:vAlign w:val="center"/>
            <w:shd w:fill="E9EEF4"/>
          </w:tcPr>
          <w:p>
            <w:pPr>
              <w:spacing w:line="252" w:lineRule="auto" w:after="20"/>
            </w:pPr>
            <w:r>
              <w:rPr>
                <w:rFonts w:ascii="Times New Roman" w:hAnsi="Times New Roman" w:cs="Times New Roman" w:eastAsia="Times New Roman"/>
                <w:b/>
                <w:sz w:val="24"/>
                <w:szCs w:val="24"/>
              </w:rPr>
              <w:t>Мүмкін шешім</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Өтімділік</w:t>
            </w:r>
          </w:p>
        </w:tc>
        <w:tc>
          <w:tcPr>
            <w:tcW w:type="dxa" w:w="3219"/>
            <w:vAlign w:val="center"/>
          </w:tcPr>
          <w:p>
            <w:pPr>
              <w:spacing w:line="252" w:lineRule="auto" w:after="20"/>
            </w:pPr>
            <w:r>
              <w:rPr>
                <w:rFonts w:ascii="Times New Roman" w:hAnsi="Times New Roman" w:cs="Times New Roman" w:eastAsia="Times New Roman"/>
                <w:sz w:val="24"/>
                <w:szCs w:val="24"/>
              </w:rPr>
              <w:t>Жақын төлемге ақша жете ме</w:t>
            </w:r>
          </w:p>
        </w:tc>
        <w:tc>
          <w:tcPr>
            <w:tcW w:type="dxa" w:w="3219"/>
            <w:vAlign w:val="center"/>
          </w:tcPr>
          <w:p>
            <w:pPr>
              <w:spacing w:line="252" w:lineRule="auto" w:after="20"/>
            </w:pPr>
            <w:r>
              <w:rPr>
                <w:rFonts w:ascii="Times New Roman" w:hAnsi="Times New Roman" w:cs="Times New Roman" w:eastAsia="Times New Roman"/>
                <w:sz w:val="24"/>
                <w:szCs w:val="24"/>
              </w:rPr>
              <w:t>Төлем кестесін өзгерту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Тұрақтылық</w:t>
            </w:r>
          </w:p>
        </w:tc>
        <w:tc>
          <w:tcPr>
            <w:tcW w:type="dxa" w:w="3219"/>
            <w:vAlign w:val="center"/>
          </w:tcPr>
          <w:p>
            <w:pPr>
              <w:spacing w:line="252" w:lineRule="auto" w:after="20"/>
            </w:pPr>
            <w:r>
              <w:rPr>
                <w:rFonts w:ascii="Times New Roman" w:hAnsi="Times New Roman" w:cs="Times New Roman" w:eastAsia="Times New Roman"/>
                <w:sz w:val="24"/>
                <w:szCs w:val="24"/>
              </w:rPr>
              <w:t>Қарыз жүктемесі көтерімді ме</w:t>
            </w:r>
          </w:p>
        </w:tc>
        <w:tc>
          <w:tcPr>
            <w:tcW w:type="dxa" w:w="3219"/>
            <w:vAlign w:val="center"/>
          </w:tcPr>
          <w:p>
            <w:pPr>
              <w:spacing w:line="252" w:lineRule="auto" w:after="20"/>
            </w:pPr>
            <w:r>
              <w:rPr>
                <w:rFonts w:ascii="Times New Roman" w:hAnsi="Times New Roman" w:cs="Times New Roman" w:eastAsia="Times New Roman"/>
                <w:sz w:val="24"/>
                <w:szCs w:val="24"/>
              </w:rPr>
              <w:t>Қаржыландыру құрылымын қайта қарау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Тиімділік</w:t>
            </w:r>
          </w:p>
        </w:tc>
        <w:tc>
          <w:tcPr>
            <w:tcW w:type="dxa" w:w="3219"/>
            <w:vAlign w:val="center"/>
          </w:tcPr>
          <w:p>
            <w:pPr>
              <w:spacing w:line="252" w:lineRule="auto" w:after="20"/>
            </w:pPr>
            <w:r>
              <w:rPr>
                <w:rFonts w:ascii="Times New Roman" w:hAnsi="Times New Roman" w:cs="Times New Roman" w:eastAsia="Times New Roman"/>
                <w:sz w:val="24"/>
                <w:szCs w:val="24"/>
              </w:rPr>
              <w:t>Ресурс қанша нәтиже береді</w:t>
            </w:r>
          </w:p>
        </w:tc>
        <w:tc>
          <w:tcPr>
            <w:tcW w:type="dxa" w:w="3219"/>
            <w:vAlign w:val="center"/>
          </w:tcPr>
          <w:p>
            <w:pPr>
              <w:spacing w:line="252" w:lineRule="auto" w:after="20"/>
            </w:pPr>
            <w:r>
              <w:rPr>
                <w:rFonts w:ascii="Times New Roman" w:hAnsi="Times New Roman" w:cs="Times New Roman" w:eastAsia="Times New Roman"/>
                <w:sz w:val="24"/>
                <w:szCs w:val="24"/>
              </w:rPr>
              <w:t>Маржа не айналымды жақсарту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 ағыны</w:t>
            </w:r>
          </w:p>
        </w:tc>
        <w:tc>
          <w:tcPr>
            <w:tcW w:type="dxa" w:w="3219"/>
            <w:vAlign w:val="center"/>
          </w:tcPr>
          <w:p>
            <w:pPr>
              <w:spacing w:line="252" w:lineRule="auto" w:after="20"/>
            </w:pPr>
            <w:r>
              <w:rPr>
                <w:rFonts w:ascii="Times New Roman" w:hAnsi="Times New Roman" w:cs="Times New Roman" w:eastAsia="Times New Roman"/>
                <w:sz w:val="24"/>
                <w:szCs w:val="24"/>
              </w:rPr>
              <w:t>Пайда ақшаға айнала ма</w:t>
            </w:r>
          </w:p>
        </w:tc>
        <w:tc>
          <w:tcPr>
            <w:tcW w:type="dxa" w:w="3219"/>
            <w:vAlign w:val="center"/>
          </w:tcPr>
          <w:p>
            <w:pPr>
              <w:spacing w:line="252" w:lineRule="auto" w:after="20"/>
            </w:pPr>
            <w:r>
              <w:rPr>
                <w:rFonts w:ascii="Times New Roman" w:hAnsi="Times New Roman" w:cs="Times New Roman" w:eastAsia="Times New Roman"/>
                <w:sz w:val="24"/>
                <w:szCs w:val="24"/>
              </w:rPr>
              <w:t>Дебиторлық берешекті басқару</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Сыртқы талдаушы жария есепке сүйенеді. Ішкі талдаушы өнім, бөлімше, клиент және келісімшарт бойынша мәліметке қол жеткізе алады. Сыртқы есептен өнімнің нақты өзіндік құнын немесе барлық клиенттің төлем тәртібін дәл білеміз деп айтуға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Талдаудың қағидаттары мен кезеңдері</w:t>
      </w:r>
    </w:p>
    <w:p>
      <w:pPr>
        <w:ind w:firstLine="709"/>
        <w:jc w:val="both"/>
        <w:rPr>
          <w:szCs w:val="24"/>
        </w:rPr>
      </w:pPr>
      <w:r>
        <w:rPr>
          <w:rFonts w:ascii="Times New Roman" w:hAnsi="Times New Roman" w:cs="Times New Roman" w:eastAsia="Times New Roman"/>
          <w:sz w:val="24"/>
          <w:szCs w:val="24"/>
        </w:rPr>
        <w:t>Объективтілік бастапқы деректі тексеруді, жүйелілік көрсеткіштерді өзара байланысты қарауды, салыстырмалылық кезең мен әдістердің үйлесімділігін талап етеді. Уақтылылық шешім қабылданатын сәтке дейін ақпарат беруді білдіреді. Маңыздылық қағидасы ықпалы жоғары мәселеге назар аударуға көмектеседі.</w:t>
      </w:r>
    </w:p>
    <w:p>
      <w:pPr>
        <w:ind w:firstLine="709"/>
        <w:jc w:val="both"/>
        <w:rPr>
          <w:szCs w:val="24"/>
        </w:rPr>
      </w:pPr>
      <w:r>
        <w:rPr>
          <w:rFonts w:ascii="Times New Roman" w:hAnsi="Times New Roman" w:cs="Times New Roman" w:eastAsia="Times New Roman"/>
          <w:sz w:val="24"/>
          <w:szCs w:val="24"/>
        </w:rPr>
        <w:t>Жұмыс реттілігі: мақсатты анықтау, деректі дайындау, көрсеткіштерді есептеу, өзгерісті салыстыру, себепті тексеру, ұсыным ұсыну және нәтижені бақылау. Көрсеткіш пен себепті араластырмау керек. Мысалы, қордың 20% өсуі — факт, ал «сату нашарлады» — тексерілетін болжам. Қор жоспарланған ірі тапсырыс үшін де өсуі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Басқарушылық қорытынды мысалы</w:t>
      </w:r>
    </w:p>
    <w:p>
      <w:pPr>
        <w:ind w:firstLine="709"/>
        <w:jc w:val="both"/>
        <w:rPr>
          <w:szCs w:val="24"/>
        </w:rPr>
      </w:pPr>
      <w:r>
        <w:rPr>
          <w:rFonts w:ascii="Times New Roman" w:hAnsi="Times New Roman" w:cs="Times New Roman" w:eastAsia="Times New Roman"/>
          <w:sz w:val="24"/>
          <w:szCs w:val="24"/>
        </w:rPr>
        <w:t>«АрнаӨндіріс» сатуы 2 400-ден 3 000-ға өсті, яғни 25%. Дебиторлық берешек 300-ден 400-ге, яғни 33,33% өсті. Берешек сатудан жылдамырақ артты. Бірақ бұл мәліметтің өзі клиенттер төлемейді деген дәлел емес: жыл соңындағы ірі сатудың уақыты мен несие шартын қарау қажет.</w:t>
      </w:r>
    </w:p>
    <w:p>
      <w:pPr>
        <w:ind w:firstLine="709"/>
        <w:jc w:val="both"/>
        <w:rPr>
          <w:szCs w:val="24"/>
        </w:rPr>
      </w:pPr>
      <w:r>
        <w:rPr>
          <w:rFonts w:ascii="Times New Roman" w:hAnsi="Times New Roman" w:cs="Times New Roman" w:eastAsia="Times New Roman"/>
          <w:sz w:val="24"/>
          <w:szCs w:val="24"/>
        </w:rPr>
        <w:t>Дұрыс бастапқы тұжырым: «Сату өскен кезеңде дебиторлық берешектің өсімі жоғары болды; оның мерзімдік құрылымын тексеру керек». Тексеруде мерзімі өткен берешек ұлғайғаны анықталса, несие лимитін, төлем мерзімін және өндіріп алу жұмысын қарауға болады. Ұсынымның жауапты тұлғасы, мерзімі және бақыланатын көрсеткіші белгіленеді.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976"/>
        <w:gridCol w:w="5491"/>
      </w:tblGrid>
      <w:tr>
        <w:trPr>
          <w:tblHeader/>
          <w:cantSplit/>
        </w:trPr>
        <w:tc>
          <w:tcPr>
            <w:tcW w:type="dxa" w:w="3976"/>
            <w:vAlign w:val="center"/>
            <w:shd w:fill="E9EEF4"/>
          </w:tcPr>
          <w:p>
            <w:pPr>
              <w:spacing w:line="252" w:lineRule="auto" w:after="20"/>
            </w:pPr>
            <w:r>
              <w:rPr>
                <w:rFonts w:ascii="Times New Roman" w:hAnsi="Times New Roman" w:cs="Times New Roman" w:eastAsia="Times New Roman"/>
                <w:b/>
                <w:sz w:val="24"/>
                <w:szCs w:val="24"/>
              </w:rPr>
              <w:t>Қорытынды бөлігі</w:t>
            </w:r>
          </w:p>
        </w:tc>
        <w:tc>
          <w:tcPr>
            <w:tcW w:type="dxa" w:w="5491"/>
            <w:vAlign w:val="center"/>
            <w:shd w:fill="E9EEF4"/>
          </w:tcPr>
          <w:p>
            <w:pPr>
              <w:spacing w:line="252" w:lineRule="auto" w:after="20"/>
            </w:pPr>
            <w:r>
              <w:rPr>
                <w:rFonts w:ascii="Times New Roman" w:hAnsi="Times New Roman" w:cs="Times New Roman" w:eastAsia="Times New Roman"/>
                <w:b/>
                <w:sz w:val="24"/>
                <w:szCs w:val="24"/>
              </w:rPr>
              <w:t>Осы мысалдағы мазмұн</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Факт</w:t>
            </w:r>
          </w:p>
        </w:tc>
        <w:tc>
          <w:tcPr>
            <w:tcW w:type="dxa" w:w="5491"/>
            <w:vAlign w:val="center"/>
          </w:tcPr>
          <w:p>
            <w:pPr>
              <w:spacing w:line="252" w:lineRule="auto" w:after="20"/>
            </w:pPr>
            <w:r>
              <w:rPr>
                <w:rFonts w:ascii="Times New Roman" w:hAnsi="Times New Roman" w:cs="Times New Roman" w:eastAsia="Times New Roman"/>
                <w:sz w:val="24"/>
                <w:szCs w:val="24"/>
              </w:rPr>
              <w:t>Берешек 33,33%, сату 25% өсті</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Ықтимал себеп</w:t>
            </w:r>
          </w:p>
        </w:tc>
        <w:tc>
          <w:tcPr>
            <w:tcW w:type="dxa" w:w="5491"/>
            <w:vAlign w:val="center"/>
          </w:tcPr>
          <w:p>
            <w:pPr>
              <w:spacing w:line="252" w:lineRule="auto" w:after="20"/>
            </w:pPr>
            <w:r>
              <w:rPr>
                <w:rFonts w:ascii="Times New Roman" w:hAnsi="Times New Roman" w:cs="Times New Roman" w:eastAsia="Times New Roman"/>
                <w:sz w:val="24"/>
                <w:szCs w:val="24"/>
              </w:rPr>
              <w:t>Несие мерзімі немесе сату уақыты өзгерген</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Қосымша тексеру</w:t>
            </w:r>
          </w:p>
        </w:tc>
        <w:tc>
          <w:tcPr>
            <w:tcW w:type="dxa" w:w="5491"/>
            <w:vAlign w:val="center"/>
          </w:tcPr>
          <w:p>
            <w:pPr>
              <w:spacing w:line="252" w:lineRule="auto" w:after="20"/>
            </w:pPr>
            <w:r>
              <w:rPr>
                <w:rFonts w:ascii="Times New Roman" w:hAnsi="Times New Roman" w:cs="Times New Roman" w:eastAsia="Times New Roman"/>
                <w:sz w:val="24"/>
                <w:szCs w:val="24"/>
              </w:rPr>
              <w:t>Берешектің жас кестесі және шарттар</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Әрекет</w:t>
            </w:r>
          </w:p>
        </w:tc>
        <w:tc>
          <w:tcPr>
            <w:tcW w:type="dxa" w:w="5491"/>
            <w:vAlign w:val="center"/>
          </w:tcPr>
          <w:p>
            <w:pPr>
              <w:spacing w:line="252" w:lineRule="auto" w:after="20"/>
            </w:pPr>
            <w:r>
              <w:rPr>
                <w:rFonts w:ascii="Times New Roman" w:hAnsi="Times New Roman" w:cs="Times New Roman" w:eastAsia="Times New Roman"/>
                <w:sz w:val="24"/>
                <w:szCs w:val="24"/>
              </w:rPr>
              <w:t>Тек расталған себепке сай шара</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Бақылау</w:t>
            </w:r>
          </w:p>
        </w:tc>
        <w:tc>
          <w:tcPr>
            <w:tcW w:type="dxa" w:w="5491"/>
            <w:vAlign w:val="center"/>
          </w:tcPr>
          <w:p>
            <w:pPr>
              <w:spacing w:line="252" w:lineRule="auto" w:after="20"/>
            </w:pPr>
            <w:r>
              <w:rPr>
                <w:rFonts w:ascii="Times New Roman" w:hAnsi="Times New Roman" w:cs="Times New Roman" w:eastAsia="Times New Roman"/>
                <w:sz w:val="24"/>
                <w:szCs w:val="24"/>
              </w:rPr>
              <w:t>Мерзімі өткен үлес және ақша түсімі</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Талдаудың шектеулері</w:t>
      </w:r>
    </w:p>
    <w:p>
      <w:pPr>
        <w:ind w:firstLine="709"/>
        <w:jc w:val="both"/>
        <w:rPr>
          <w:szCs w:val="24"/>
        </w:rPr>
      </w:pPr>
      <w:r>
        <w:rPr>
          <w:rFonts w:ascii="Times New Roman" w:hAnsi="Times New Roman" w:cs="Times New Roman" w:eastAsia="Times New Roman"/>
          <w:sz w:val="24"/>
          <w:szCs w:val="24"/>
        </w:rPr>
        <w:t>Есептілік өткен кезеңді сипаттайды, бағалауларға сүйенеді және барлық операциялық факторды қамтымайды. Бір жылдық жоғары пайда бір реттік актив сатудан тууы мүмкін. Орташа көрсеткіш бөлімшелер арасындағы айырмашылықты жасыруы ықтимал. Сондықтан сандық нәтижеге қызмет туралы түсіндірме қосылады.</w:t>
      </w:r>
    </w:p>
    <w:p>
      <w:pPr>
        <w:ind w:firstLine="709"/>
        <w:jc w:val="both"/>
        <w:rPr>
          <w:szCs w:val="24"/>
        </w:rPr>
      </w:pPr>
      <w:r>
        <w:rPr>
          <w:rFonts w:ascii="Times New Roman" w:hAnsi="Times New Roman" w:cs="Times New Roman" w:eastAsia="Times New Roman"/>
          <w:sz w:val="24"/>
          <w:szCs w:val="24"/>
        </w:rPr>
        <w:t>Дәлелді талдау сенімділік деңгейін де білдіреді: қандай факт анық, қандай себеп болжам, қандай мәлімет жетіспейді. Бұл қорытындыны әлсіретпейді, керісінше шешімді нақты дерекке байлайды.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Талдауды коэффициенттер тізімімен аяқтау.</w:t>
      </w:r>
    </w:p>
    <w:p>
      <w:pPr>
        <w:pStyle w:val="a0"/>
        <w:tabs>
          <w:tab w:val="left" w:pos="1134"/>
        </w:tabs>
        <w:ind w:firstLine="491"/>
        <w:jc w:val="both"/>
        <w:rPr>
          <w:szCs w:val="24"/>
        </w:rPr>
      </w:pPr>
      <w:r>
        <w:rPr>
          <w:rFonts w:ascii="Times New Roman" w:hAnsi="Times New Roman" w:cs="Times New Roman" w:eastAsia="Times New Roman"/>
          <w:sz w:val="24"/>
          <w:szCs w:val="24"/>
        </w:rPr>
        <w:t>Бір өзгерістің себебін дәлелсіз атау.</w:t>
      </w:r>
    </w:p>
    <w:p>
      <w:pPr>
        <w:pStyle w:val="a0"/>
        <w:tabs>
          <w:tab w:val="left" w:pos="1134"/>
        </w:tabs>
        <w:ind w:firstLine="491"/>
        <w:jc w:val="both"/>
        <w:rPr>
          <w:szCs w:val="24"/>
        </w:rPr>
      </w:pPr>
      <w:r>
        <w:rPr>
          <w:rFonts w:ascii="Times New Roman" w:hAnsi="Times New Roman" w:cs="Times New Roman" w:eastAsia="Times New Roman"/>
          <w:sz w:val="24"/>
          <w:szCs w:val="24"/>
        </w:rPr>
        <w:t>Барлық пайдаланушыға бірдей ұсыным беру.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Есептеу мен талдаудың айырмасы қандай?</w:t>
      </w:r>
    </w:p>
    <w:p>
      <w:pPr>
        <w:spacing w:after="80"/>
        <w:ind w:left="170" w:firstLine="709"/>
        <w:jc w:val="both"/>
        <w:rPr>
          <w:szCs w:val="24"/>
        </w:rPr>
      </w:pPr>
      <w:r>
        <w:rPr>
          <w:rFonts w:ascii="Times New Roman" w:hAnsi="Times New Roman" w:cs="Times New Roman" w:eastAsia="Times New Roman"/>
          <w:sz w:val="24"/>
          <w:szCs w:val="24"/>
        </w:rPr>
        <w:t>2. Сыртқы және ішкі талдаудың ақпараттық мүмкіндігі қалай өзгеше?</w:t>
      </w:r>
    </w:p>
    <w:p>
      <w:pPr>
        <w:spacing w:after="80"/>
        <w:ind w:left="170" w:firstLine="709"/>
        <w:jc w:val="both"/>
        <w:rPr>
          <w:szCs w:val="24"/>
        </w:rPr>
      </w:pPr>
      <w:r>
        <w:rPr>
          <w:rFonts w:ascii="Times New Roman" w:hAnsi="Times New Roman" w:cs="Times New Roman" w:eastAsia="Times New Roman"/>
          <w:sz w:val="24"/>
          <w:szCs w:val="24"/>
        </w:rPr>
        <w:t>3. Неліктен берешек өсімі бірден теріс құбылыс емес?</w:t>
      </w:r>
    </w:p>
    <w:p>
      <w:pPr>
        <w:spacing w:after="80"/>
        <w:ind w:left="170" w:firstLine="709"/>
        <w:jc w:val="both"/>
        <w:rPr>
          <w:szCs w:val="24"/>
        </w:rPr>
      </w:pPr>
      <w:r>
        <w:rPr>
          <w:rFonts w:ascii="Times New Roman" w:hAnsi="Times New Roman" w:cs="Times New Roman" w:eastAsia="Times New Roman"/>
          <w:sz w:val="24"/>
          <w:szCs w:val="24"/>
        </w:rPr>
        <w:t>4. Орындауға болатын ұсынымда қандай элементтер болуы керек?</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Кәсіпорынның пайдасы өсті, бірақ операциялық ақша ағыны төмендеді. Бірден «есеп қате» деп жазудың орнына дебиторлық берешек, қор, кредиторлық берешек және ақшалай емес кіріс-шығыстардың өзгерісін тексеру керек.</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[Ә12] Ковалев В.В. Введение в финансовый менеджмент. - М.: Финансы и статистика, 2016. – 763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Қаржыны басқару жүйесіндегі қаржылық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