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after="80"/>
        <w:ind w:firstLine="709"/>
        <w:jc w:val="both"/>
        <w:rPr>
          <w:szCs w:val="24"/>
        </w:rPr>
      </w:pPr>
      <w:r>
        <w:rPr>
          <w:rFonts w:ascii="Times New Roman" w:hAnsi="Times New Roman" w:cs="Times New Roman" w:eastAsia="Times New Roman"/>
          <w:b/>
          <w:sz w:val="24"/>
          <w:szCs w:val="24"/>
        </w:rPr>
        <w:t>9 ДӘРІС</w:t>
      </w:r>
    </w:p>
    <w:p>
      <w:pPr>
        <w:pStyle w:val="aa"/>
        <w:ind w:firstLine="709"/>
        <w:jc w:val="both"/>
        <w:rPr>
          <w:rFonts w:ascii="Times New Roman" w:hAnsi="Times New Roman" w:cs="Times New Roman"/>
          <w:sz w:val="24"/>
          <w:szCs w:val="24"/>
        </w:rPr>
      </w:pPr>
      <w:r>
        <w:rPr>
          <w:rFonts w:ascii="Times New Roman" w:hAnsi="Times New Roman" w:cs="Times New Roman" w:eastAsia="Times New Roman"/>
          <w:sz w:val="24"/>
          <w:szCs w:val="24"/>
        </w:rPr>
        <w:t>Есептілікті аяқтау және ұсыну</w:t>
      </w:r>
    </w:p>
    <w:p>
      <w:pPr>
        <w:ind w:firstLine="709"/>
        <w:jc w:val="both"/>
        <w:rPr>
          <w:szCs w:val="24"/>
        </w:rPr>
      </w:pPr>
      <w:r>
        <w:rPr>
          <w:rFonts w:ascii="Times New Roman" w:hAnsi="Times New Roman" w:cs="Times New Roman" w:eastAsia="Times New Roman"/>
          <w:b/>
          <w:sz w:val="24"/>
          <w:szCs w:val="24"/>
        </w:rPr>
        <w:t xml:space="preserve">Дәрістің мақсаты. </w:t>
      </w:r>
      <w:r>
        <w:rPr>
          <w:rFonts w:ascii="Times New Roman" w:hAnsi="Times New Roman" w:cs="Times New Roman" w:eastAsia="Times New Roman"/>
          <w:sz w:val="24"/>
          <w:szCs w:val="24"/>
        </w:rPr>
        <w:t>Есептілікті аяқтаудағы негізгі ашып көрсетулерді ажырату, арнайы стандарттардың рөлін түсіндіру және дайын жиынтықтың сапасын тексеру.</w:t>
      </w:r>
    </w:p>
    <w:p>
      <w:pPr>
        <w:ind w:firstLine="709"/>
        <w:jc w:val="both"/>
        <w:rPr>
          <w:szCs w:val="24"/>
        </w:rPr>
      </w:pPr>
      <w:r>
        <w:rPr>
          <w:rFonts w:ascii="Times New Roman" w:hAnsi="Times New Roman" w:cs="Times New Roman" w:eastAsia="Times New Roman"/>
          <w:b/>
          <w:sz w:val="24"/>
          <w:szCs w:val="24"/>
        </w:rPr>
        <w:t xml:space="preserve">Қарастырылатын сұрақтар. </w:t>
      </w:r>
      <w:r>
        <w:rPr>
          <w:rFonts w:ascii="Times New Roman" w:hAnsi="Times New Roman" w:cs="Times New Roman" w:eastAsia="Times New Roman"/>
          <w:sz w:val="24"/>
          <w:szCs w:val="24"/>
        </w:rPr>
        <w:t>Аяқтау кезеңінің мәні; Байланысты тараптар; Акцияға шаққандағы пайда; Сатуға арналған активтер; Аралық есептілік және ҚЕХС-ты алғаш қолдану; IFRS 19 кімге арналған; Цифрлық ұсыну және сапаны бақылау.</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1 Аяқтау кезеңінің мәні</w:t>
      </w:r>
    </w:p>
    <w:p>
      <w:pPr>
        <w:ind w:firstLine="709"/>
        <w:jc w:val="both"/>
        <w:rPr>
          <w:szCs w:val="24"/>
        </w:rPr>
      </w:pPr>
      <w:r>
        <w:rPr>
          <w:rFonts w:ascii="Times New Roman" w:hAnsi="Times New Roman" w:cs="Times New Roman" w:eastAsia="Times New Roman"/>
          <w:sz w:val="24"/>
          <w:szCs w:val="24"/>
        </w:rPr>
        <w:t>Есептіліктің арифметикалық теңдігі жұмыстың аяқталғанын білдірмейді. Пайдаланушыға көрсеткіштердің қалыптасу жағдайы, байланысты мәмілелер, ерекше оқиғалар және бағалаудағы белгісіздік туралы ақпарат қажет. Сондықтан аяқтау кезеңінде сандар, түсіндірмелер, салыстырмалы деректер және бекіту рәсімі бірге тексеріледі.</w:t>
      </w:r>
    </w:p>
    <w:p>
      <w:pPr>
        <w:ind w:firstLine="709"/>
        <w:jc w:val="both"/>
        <w:rPr>
          <w:szCs w:val="24"/>
        </w:rPr>
      </w:pPr>
      <w:r>
        <w:rPr>
          <w:rFonts w:ascii="Times New Roman" w:hAnsi="Times New Roman" w:cs="Times New Roman" w:eastAsia="Times New Roman"/>
          <w:sz w:val="24"/>
          <w:szCs w:val="24"/>
        </w:rPr>
        <w:t>Әрбір стандарт барлық ұйымға бірдей көлемде қолданылмайды. Алдымен ұйымның қызметі, бағалы қағаздарының айналымы, топқа қатысы және жасалған операциялары анықталады. Төмендегі тақырыптар толық стандартты алмастырмайтын, есептілікті аяқтау кезіндегі шешімдерді түсіндіретін негізгі бағдарлар болып табылады.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2 Байланысты тараптар</w:t>
      </w:r>
    </w:p>
    <w:p>
      <w:pPr>
        <w:ind w:firstLine="709"/>
        <w:jc w:val="both"/>
        <w:rPr>
          <w:szCs w:val="24"/>
        </w:rPr>
      </w:pPr>
      <w:r>
        <w:rPr>
          <w:rFonts w:ascii="Times New Roman" w:hAnsi="Times New Roman" w:cs="Times New Roman" w:eastAsia="Times New Roman"/>
          <w:sz w:val="24"/>
          <w:szCs w:val="24"/>
        </w:rPr>
        <w:t>Байланысты тарапқа бас ұйым, еншілес ұйым, ортақ бақылаудағы ұйым немесе бақылау, елеулі ықпал және негізгі басқарушы персонал арқылы байланысқан тұлғалар жатуы мүмкін. Кез келген ірі клиент автоматты түрде байланысты тарап емес. Мәміле тегін жасалса да, байланысты тараппен ресурс не міндеттеме ауыстыру болғанын бағалау қажет. [Н10]</w:t>
      </w:r>
    </w:p>
    <w:p>
      <w:pPr>
        <w:ind w:firstLine="709"/>
        <w:jc w:val="both"/>
        <w:rPr>
          <w:szCs w:val="24"/>
        </w:rPr>
      </w:pPr>
      <w:r>
        <w:rPr>
          <w:rFonts w:ascii="Times New Roman" w:hAnsi="Times New Roman" w:cs="Times New Roman" w:eastAsia="Times New Roman"/>
          <w:sz w:val="24"/>
          <w:szCs w:val="24"/>
        </w:rPr>
        <w:t>Мысалы, ұйым бас директор бақылайтын компаниядан кеңсе жалдады. Жалға алу шығысы дұрыс есептелген күннің өзінде байланыстың сипаты, мәміле мен қалдықтар туралы талап етілетін ақпарат ашылады. «Бағасы нарықтық» деген жалпы сөйлем байланыстың бар екенін жоймайды. Талдаушы осындай мәмілелердің пайдаға, берешекке және тәуекелге әсерін бағалайды.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3 Акцияға шаққандағы пайда</w:t>
      </w:r>
    </w:p>
    <w:p>
      <w:pPr>
        <w:ind w:firstLine="709"/>
        <w:jc w:val="both"/>
        <w:rPr>
          <w:szCs w:val="24"/>
        </w:rPr>
      </w:pPr>
      <w:r>
        <w:rPr>
          <w:rFonts w:ascii="Times New Roman" w:hAnsi="Times New Roman" w:cs="Times New Roman" w:eastAsia="Times New Roman"/>
          <w:sz w:val="24"/>
          <w:szCs w:val="24"/>
        </w:rPr>
        <w:t>IAS 33 ашық айналымдағы жай акциялары немесе әлеуетті жай акциялары бар ұйымдарға қолданылады. Стандартқа сай EPS ұсынуды өз еркімен таңдаған өзге ұйым да оның талаптарын сақтайды. Базалық EPS есептеуде жай акция ұстаушыларға тиесілі пайда кезеңдегі айналымдағы жай акциялардың орташа өлшенген санына бөлінеді. Ықтимал сұйылту әсері бөлек бағаланады. [Н11]</w:t>
      </w:r>
    </w:p>
    <w:p>
      <w:pPr>
        <w:ind w:firstLine="709"/>
        <w:jc w:val="both"/>
        <w:rPr>
          <w:szCs w:val="24"/>
        </w:rPr>
      </w:pPr>
      <w:r>
        <w:rPr>
          <w:rFonts w:ascii="Times New Roman" w:hAnsi="Times New Roman" w:cs="Times New Roman" w:eastAsia="Times New Roman"/>
          <w:sz w:val="24"/>
          <w:szCs w:val="24"/>
        </w:rPr>
        <w:t>Шартты қоғамның жай акция иелеріне тиесілі пайдасы 350 мың теңге, орташа өлшенген акциясы 100 мың дана болса, EPS 3,50 теңге. Егер жыл басында 100 мың акция болып, 1 шілдеде тағы 20 мың акция шығарылса, толық жылдық салмақталған сан 110 мың болады; соңғы күнгі 120 мыңды жай қолдану дұрыс емес. Мысалда жыл екі тең жартыжылдық ретінде қаралады.</w:t>
      </w:r>
    </w:p>
    <w:p>
      <w:pPr>
        <w:ind w:firstLine="709"/>
        <w:jc w:val="both"/>
        <w:rPr>
          <w:szCs w:val="24"/>
        </w:rPr>
        <w:keepNext/>
      </w:pPr>
      <w:r>
        <w:rPr>
          <w:rFonts w:ascii="Times New Roman" w:hAnsi="Times New Roman" w:cs="Times New Roman" w:eastAsia="Times New Roman"/>
          <w:b/>
          <w:sz w:val="24"/>
          <w:szCs w:val="24"/>
        </w:rPr>
        <w:t>EPS</w:t>
      </w:r>
    </w:p>
    <w:p>
      <w:pPr>
        <w:ind w:firstLine="709"/>
        <w:jc w:val="both"/>
        <w:rPr>
          <w:szCs w:val="24"/>
        </w:rPr>
      </w:pPr>
      <m:oMath>
        <m:f>
          <m:num>
            <m:r>
              <m:rPr>
                <m:nor/>
              </m:rPr>
              <w:rPr>
                <w:rFonts w:ascii="Times New Roman" w:hAnsi="Times New Roman"/>
                <w:sz w:val="22"/>
              </w:rPr>
              <m:t xml:space="preserve">350 мың теңге</m:t>
            </m:r>
          </m:num>
          <m:den>
            <m:r>
              <m:rPr>
                <m:nor/>
              </m:rPr>
              <w:rPr>
                <w:rFonts w:ascii="Times New Roman" w:hAnsi="Times New Roman"/>
                <w:sz w:val="22"/>
              </w:rPr>
              <m:t xml:space="preserve">100 мың акция</m:t>
            </m:r>
          </m:den>
        </m:f>
        <m:r>
          <m:rPr>
            <m:nor/>
          </m:rPr>
          <w:rPr>
            <w:rFonts w:ascii="Times New Roman" w:hAnsi="Times New Roman"/>
            <w:sz w:val="22"/>
          </w:rPr>
          <m:t xml:space="preserve"> = 3,50 теңге</m:t>
        </m:r>
      </m:oMath>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4 Сатуға арналған активтер</w:t>
      </w:r>
    </w:p>
    <w:p>
      <w:pPr>
        <w:ind w:firstLine="709"/>
        <w:jc w:val="both"/>
        <w:rPr>
          <w:szCs w:val="24"/>
        </w:rPr>
      </w:pPr>
      <w:r>
        <w:rPr>
          <w:rFonts w:ascii="Times New Roman" w:hAnsi="Times New Roman" w:cs="Times New Roman" w:eastAsia="Times New Roman"/>
          <w:sz w:val="24"/>
          <w:szCs w:val="24"/>
        </w:rPr>
        <w:t>IFRS 5 бойынша активтің баланстық құны негізінен пайдаланудан емес, сатудан өтелетін жағдайда тиісті жіктеу шарттары тексеріледі. Басшылықтың сату туралы жалпы ойы жеткіліксіз: активтің қазіргі күйінде дереу сатуға қолжетімділігі, сатудың жоғары ықтималдығы және стандарттағы өзге шарттар бағаланады.</w:t>
      </w:r>
    </w:p>
    <w:p>
      <w:pPr>
        <w:ind w:firstLine="709"/>
        <w:jc w:val="both"/>
        <w:rPr>
          <w:szCs w:val="24"/>
        </w:rPr>
      </w:pPr>
      <w:r>
        <w:rPr>
          <w:rFonts w:ascii="Times New Roman" w:hAnsi="Times New Roman" w:cs="Times New Roman" w:eastAsia="Times New Roman"/>
          <w:sz w:val="24"/>
          <w:szCs w:val="24"/>
        </w:rPr>
        <w:t>Тиісті актив баланстық құн мен сату шығындары шегерілген әділ құнның төменгісімен бағаланады; амортизация тоқтатылады және бөлек ұсыну талаптары қолданылады. Әр активті сату тоқтатылған қызмет болып саналмайды: тоқтатылған қызметке қосымша өлшемшарттар қойылады. [Н12]</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5 Аралық есептілік және ҚЕХС-ты алғаш қолдану</w:t>
      </w:r>
    </w:p>
    <w:p>
      <w:pPr>
        <w:ind w:firstLine="709"/>
        <w:jc w:val="both"/>
        <w:rPr>
          <w:szCs w:val="24"/>
        </w:rPr>
      </w:pPr>
      <w:r>
        <w:rPr>
          <w:rFonts w:ascii="Times New Roman" w:hAnsi="Times New Roman" w:cs="Times New Roman" w:eastAsia="Times New Roman"/>
          <w:sz w:val="24"/>
          <w:szCs w:val="24"/>
        </w:rPr>
        <w:t>Аралық есептілік толық жылдан қысқа кезеңді қамтиды. IAS 34 оның ең аз мазмұны мен тану-бағалау қағидаттарын белгілейді, бірақ барлық ұйымды тоқсан сайын есеп жариялауға өзі міндеттемейді. Жариялау міндеті заң мен реттеу талаптарына байланысты. Аралық есепте соңғы жылдық есептен бергі маңызды өзгерістер түсіндіріледі. [Н13]</w:t>
      </w:r>
    </w:p>
    <w:p>
      <w:pPr>
        <w:ind w:firstLine="709"/>
        <w:jc w:val="both"/>
        <w:rPr>
          <w:szCs w:val="24"/>
        </w:rPr>
      </w:pPr>
      <w:r>
        <w:rPr>
          <w:rFonts w:ascii="Times New Roman" w:hAnsi="Times New Roman" w:cs="Times New Roman" w:eastAsia="Times New Roman"/>
          <w:sz w:val="24"/>
          <w:szCs w:val="24"/>
        </w:rPr>
        <w:t>IFRS 1 ҚЕХС-қа алғаш көшудегі бастапқы есептілік пен өтпелі күнді қарастырады. Бұл тек нысандардың атауын өзгерту емес: бастапқы ҚЕХС балансы, есеп саясаты және тиісті ерекшеліктер мен босатулар бағаланады. Өтпелі күн, алғашқы ҚЕХС есепті кезеңі және салыстырмалы кезеңнің айырмасын ажырату қажет. [Н14]</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6 IFRS 19 кімге арналған</w:t>
      </w:r>
    </w:p>
    <w:p>
      <w:pPr>
        <w:ind w:firstLine="709"/>
        <w:jc w:val="both"/>
        <w:rPr>
          <w:szCs w:val="24"/>
        </w:rPr>
      </w:pPr>
      <w:r>
        <w:rPr>
          <w:rFonts w:ascii="Times New Roman" w:hAnsi="Times New Roman" w:cs="Times New Roman" w:eastAsia="Times New Roman"/>
          <w:sz w:val="24"/>
          <w:szCs w:val="24"/>
        </w:rPr>
        <w:t>IFRS 19 2027 жылғы 1 қаңтардан немесе одан кейін басталатын жылдық кезеңдерге күшіне енеді; ерте қолдануға болады. Оны қолдануға құқығы бар еншілес ұйым толық ҚЕХС тану және бағалау талаптарын сақтай отырып, қысқартылған ашып көрсету талаптарын таңдай алады. Бұл барлық шағын бизнеске арналған жеңілдетілген бағалау стандарты емес. [Н15]</w:t>
      </w:r>
    </w:p>
    <w:p>
      <w:pPr>
        <w:ind w:firstLine="709"/>
        <w:jc w:val="both"/>
        <w:rPr>
          <w:szCs w:val="24"/>
        </w:rPr>
      </w:pPr>
      <w:r>
        <w:rPr>
          <w:rFonts w:ascii="Times New Roman" w:hAnsi="Times New Roman" w:cs="Times New Roman" w:eastAsia="Times New Roman"/>
          <w:sz w:val="24"/>
          <w:szCs w:val="24"/>
        </w:rPr>
        <w:t>Негізгі шарттар: ұйым еншілес болуы, жария есептілік жөніндегі жауапкершілігі болмауы және оның түпкілікті не аралық бас ұйымының көпшілікке қолжетімді ҚЕХС-қа сай шоғырландырылған есептілік жасауы. Қолдану құқығы нақты тексеріледі. Қысқартылған ашып көрсету пайдаланушыға қажет маңызды қосымша ақпаратты жасыруға негіз болмайды.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7 Цифрлық ұсыну және сапаны бақылау</w:t>
      </w:r>
    </w:p>
    <w:p>
      <w:pPr>
        <w:ind w:firstLine="709"/>
        <w:jc w:val="both"/>
        <w:rPr>
          <w:szCs w:val="24"/>
        </w:rPr>
      </w:pPr>
      <w:r>
        <w:rPr>
          <w:rFonts w:ascii="Times New Roman" w:hAnsi="Times New Roman" w:cs="Times New Roman" w:eastAsia="Times New Roman"/>
          <w:sz w:val="24"/>
          <w:szCs w:val="24"/>
        </w:rPr>
        <w:t>Цифрлық есептілік файлды PDF түрінде сақтаумен ғана шектелмейді. Таксономия көрсеткішке мағыналық белгі беріп, машиналық салыстыруға мүмкіндік жасайды. Бірдей сомаға қате белгі беру автоматты талдауды бұрмалайды. Сондықтан есеп атауы, өлшем бірлігі, кезең, белгі және ескертпемен байланыс тексеріледі. [Н16]</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CellMar>
          <w:top w:w="65" w:type="dxa"/>
          <w:bottom w:w="65" w:type="dxa"/>
          <w:left w:w="85" w:type="dxa"/>
          <w:right w:w="85" w:type="dxa"/>
        </w:tblCellMar>
      </w:tblPr>
      <w:tblGrid>
        <w:gridCol w:w="3976"/>
        <w:gridCol w:w="5491"/>
      </w:tblGrid>
      <w:tr>
        <w:trPr>
          <w:tblHeader/>
          <w:cantSplit/>
        </w:trPr>
        <w:tc>
          <w:tcPr>
            <w:tcW w:type="dxa" w:w="3976"/>
            <w:vAlign w:val="center"/>
            <w:shd w:fill="E9EEF4"/>
          </w:tcPr>
          <w:p>
            <w:pPr>
              <w:spacing w:line="252" w:lineRule="auto" w:after="20"/>
            </w:pPr>
            <w:r>
              <w:rPr>
                <w:rFonts w:ascii="Times New Roman" w:hAnsi="Times New Roman" w:cs="Times New Roman" w:eastAsia="Times New Roman"/>
                <w:b/>
                <w:sz w:val="24"/>
                <w:szCs w:val="24"/>
              </w:rPr>
              <w:t>Бақылау</w:t>
            </w:r>
          </w:p>
        </w:tc>
        <w:tc>
          <w:tcPr>
            <w:tcW w:type="dxa" w:w="5491"/>
            <w:vAlign w:val="center"/>
            <w:shd w:fill="E9EEF4"/>
          </w:tcPr>
          <w:p>
            <w:pPr>
              <w:spacing w:line="252" w:lineRule="auto" w:after="20"/>
            </w:pPr>
            <w:r>
              <w:rPr>
                <w:rFonts w:ascii="Times New Roman" w:hAnsi="Times New Roman" w:cs="Times New Roman" w:eastAsia="Times New Roman"/>
                <w:b/>
                <w:sz w:val="24"/>
                <w:szCs w:val="24"/>
              </w:rPr>
              <w:t>Нақты тексеру сұрағы</w:t>
            </w:r>
          </w:p>
        </w:tc>
      </w:tr>
      <w:tr>
        <w:trPr>
          <w:cantSplit/>
        </w:trPr>
        <w:tc>
          <w:tcPr>
            <w:tcW w:type="dxa" w:w="3976"/>
            <w:vAlign w:val="center"/>
          </w:tcPr>
          <w:p>
            <w:pPr>
              <w:spacing w:line="252" w:lineRule="auto" w:after="20"/>
            </w:pPr>
            <w:r>
              <w:rPr>
                <w:rFonts w:ascii="Times New Roman" w:hAnsi="Times New Roman" w:cs="Times New Roman" w:eastAsia="Times New Roman"/>
                <w:sz w:val="24"/>
                <w:szCs w:val="24"/>
              </w:rPr>
              <w:t>Арифметика</w:t>
            </w:r>
          </w:p>
        </w:tc>
        <w:tc>
          <w:tcPr>
            <w:tcW w:type="dxa" w:w="5491"/>
            <w:vAlign w:val="center"/>
          </w:tcPr>
          <w:p>
            <w:pPr>
              <w:spacing w:line="252" w:lineRule="auto" w:after="20"/>
            </w:pPr>
            <w:r>
              <w:rPr>
                <w:rFonts w:ascii="Times New Roman" w:hAnsi="Times New Roman" w:cs="Times New Roman" w:eastAsia="Times New Roman"/>
                <w:sz w:val="24"/>
                <w:szCs w:val="24"/>
              </w:rPr>
              <w:t>Актив міндеттеме мен капиталға тең бе</w:t>
            </w:r>
          </w:p>
        </w:tc>
      </w:tr>
      <w:tr>
        <w:trPr>
          <w:cantSplit/>
        </w:trPr>
        <w:tc>
          <w:tcPr>
            <w:tcW w:type="dxa" w:w="3976"/>
            <w:vAlign w:val="center"/>
          </w:tcPr>
          <w:p>
            <w:pPr>
              <w:spacing w:line="252" w:lineRule="auto" w:after="20"/>
            </w:pPr>
            <w:r>
              <w:rPr>
                <w:rFonts w:ascii="Times New Roman" w:hAnsi="Times New Roman" w:cs="Times New Roman" w:eastAsia="Times New Roman"/>
                <w:sz w:val="24"/>
                <w:szCs w:val="24"/>
              </w:rPr>
              <w:t>Өзара байланыс</w:t>
            </w:r>
          </w:p>
        </w:tc>
        <w:tc>
          <w:tcPr>
            <w:tcW w:type="dxa" w:w="5491"/>
            <w:vAlign w:val="center"/>
          </w:tcPr>
          <w:p>
            <w:pPr>
              <w:spacing w:line="252" w:lineRule="auto" w:after="20"/>
            </w:pPr>
            <w:r>
              <w:rPr>
                <w:rFonts w:ascii="Times New Roman" w:hAnsi="Times New Roman" w:cs="Times New Roman" w:eastAsia="Times New Roman"/>
                <w:sz w:val="24"/>
                <w:szCs w:val="24"/>
              </w:rPr>
              <w:t>Ақша және капиталдың соңғы сомалары сәйкес пе</w:t>
            </w:r>
          </w:p>
        </w:tc>
      </w:tr>
      <w:tr>
        <w:trPr>
          <w:cantSplit/>
        </w:trPr>
        <w:tc>
          <w:tcPr>
            <w:tcW w:type="dxa" w:w="3976"/>
            <w:vAlign w:val="center"/>
          </w:tcPr>
          <w:p>
            <w:pPr>
              <w:spacing w:line="252" w:lineRule="auto" w:after="20"/>
            </w:pPr>
            <w:r>
              <w:rPr>
                <w:rFonts w:ascii="Times New Roman" w:hAnsi="Times New Roman" w:cs="Times New Roman" w:eastAsia="Times New Roman"/>
                <w:sz w:val="24"/>
                <w:szCs w:val="24"/>
              </w:rPr>
              <w:t>Толықтық</w:t>
            </w:r>
          </w:p>
        </w:tc>
        <w:tc>
          <w:tcPr>
            <w:tcW w:type="dxa" w:w="5491"/>
            <w:vAlign w:val="center"/>
          </w:tcPr>
          <w:p>
            <w:pPr>
              <w:spacing w:line="252" w:lineRule="auto" w:after="20"/>
            </w:pPr>
            <w:r>
              <w:rPr>
                <w:rFonts w:ascii="Times New Roman" w:hAnsi="Times New Roman" w:cs="Times New Roman" w:eastAsia="Times New Roman"/>
                <w:sz w:val="24"/>
                <w:szCs w:val="24"/>
              </w:rPr>
              <w:t>Қажетті нысандар мен ескертпелер бар ма</w:t>
            </w:r>
          </w:p>
        </w:tc>
      </w:tr>
      <w:tr>
        <w:trPr>
          <w:cantSplit/>
        </w:trPr>
        <w:tc>
          <w:tcPr>
            <w:tcW w:type="dxa" w:w="3976"/>
            <w:vAlign w:val="center"/>
          </w:tcPr>
          <w:p>
            <w:pPr>
              <w:spacing w:line="252" w:lineRule="auto" w:after="20"/>
            </w:pPr>
            <w:r>
              <w:rPr>
                <w:rFonts w:ascii="Times New Roman" w:hAnsi="Times New Roman" w:cs="Times New Roman" w:eastAsia="Times New Roman"/>
                <w:sz w:val="24"/>
                <w:szCs w:val="24"/>
              </w:rPr>
              <w:t>Мазмұн</w:t>
            </w:r>
          </w:p>
        </w:tc>
        <w:tc>
          <w:tcPr>
            <w:tcW w:type="dxa" w:w="5491"/>
            <w:vAlign w:val="center"/>
          </w:tcPr>
          <w:p>
            <w:pPr>
              <w:spacing w:line="252" w:lineRule="auto" w:after="20"/>
            </w:pPr>
            <w:r>
              <w:rPr>
                <w:rFonts w:ascii="Times New Roman" w:hAnsi="Times New Roman" w:cs="Times New Roman" w:eastAsia="Times New Roman"/>
                <w:sz w:val="24"/>
                <w:szCs w:val="24"/>
              </w:rPr>
              <w:t>Ерекше мәміле және белгісіздік түсіндірілген бе</w:t>
            </w:r>
          </w:p>
        </w:tc>
      </w:tr>
      <w:tr>
        <w:trPr>
          <w:cantSplit/>
        </w:trPr>
        <w:tc>
          <w:tcPr>
            <w:tcW w:type="dxa" w:w="3976"/>
            <w:vAlign w:val="center"/>
          </w:tcPr>
          <w:p>
            <w:pPr>
              <w:spacing w:line="252" w:lineRule="auto" w:after="20"/>
            </w:pPr>
            <w:r>
              <w:rPr>
                <w:rFonts w:ascii="Times New Roman" w:hAnsi="Times New Roman" w:cs="Times New Roman" w:eastAsia="Times New Roman"/>
                <w:sz w:val="24"/>
                <w:szCs w:val="24"/>
              </w:rPr>
              <w:t>Сәйкестендіру</w:t>
            </w:r>
          </w:p>
        </w:tc>
        <w:tc>
          <w:tcPr>
            <w:tcW w:type="dxa" w:w="5491"/>
            <w:vAlign w:val="center"/>
          </w:tcPr>
          <w:p>
            <w:pPr>
              <w:spacing w:line="252" w:lineRule="auto" w:after="20"/>
            </w:pPr>
            <w:r>
              <w:rPr>
                <w:rFonts w:ascii="Times New Roman" w:hAnsi="Times New Roman" w:cs="Times New Roman" w:eastAsia="Times New Roman"/>
                <w:sz w:val="24"/>
                <w:szCs w:val="24"/>
              </w:rPr>
              <w:t>Кезең мен өлшем бірлігі барлық жерде бірдей ме</w:t>
            </w:r>
          </w:p>
        </w:tc>
      </w:tr>
      <w:tr>
        <w:trPr>
          <w:cantSplit/>
        </w:trPr>
        <w:tc>
          <w:tcPr>
            <w:tcW w:type="dxa" w:w="3976"/>
            <w:vAlign w:val="center"/>
          </w:tcPr>
          <w:p>
            <w:pPr>
              <w:spacing w:line="252" w:lineRule="auto" w:after="20"/>
            </w:pPr>
            <w:r>
              <w:rPr>
                <w:rFonts w:ascii="Times New Roman" w:hAnsi="Times New Roman" w:cs="Times New Roman" w:eastAsia="Times New Roman"/>
                <w:sz w:val="24"/>
                <w:szCs w:val="24"/>
              </w:rPr>
              <w:t>Бекіту</w:t>
            </w:r>
          </w:p>
        </w:tc>
        <w:tc>
          <w:tcPr>
            <w:tcW w:type="dxa" w:w="5491"/>
            <w:vAlign w:val="center"/>
          </w:tcPr>
          <w:p>
            <w:pPr>
              <w:spacing w:line="252" w:lineRule="auto" w:after="20"/>
            </w:pPr>
            <w:r>
              <w:rPr>
                <w:rFonts w:ascii="Times New Roman" w:hAnsi="Times New Roman" w:cs="Times New Roman" w:eastAsia="Times New Roman"/>
                <w:sz w:val="24"/>
                <w:szCs w:val="24"/>
              </w:rPr>
              <w:t>Шығаруға бекіту күні мен өкілетті тұлға анық па</w:t>
            </w:r>
          </w:p>
        </w:tc>
      </w:tr>
    </w:tbl>
    <w:p>
      <w:pPr>
        <w:ind w:firstLine="709"/>
        <w:jc w:val="both"/>
        <w:rPr>
          <w:szCs w:val="24"/>
        </w:rPr>
      </w:pP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Жиі кездесетін қателер</w:t>
      </w:r>
    </w:p>
    <w:p>
      <w:pPr>
        <w:pStyle w:val="a0"/>
        <w:tabs>
          <w:tab w:val="left" w:pos="1134"/>
        </w:tabs>
        <w:ind w:firstLine="491"/>
        <w:jc w:val="both"/>
        <w:rPr>
          <w:szCs w:val="24"/>
        </w:rPr>
      </w:pPr>
      <w:r>
        <w:rPr>
          <w:rFonts w:ascii="Times New Roman" w:hAnsi="Times New Roman" w:cs="Times New Roman" w:eastAsia="Times New Roman"/>
          <w:sz w:val="24"/>
          <w:szCs w:val="24"/>
        </w:rPr>
        <w:t>Әрбір еншілес ұйым IFRS 19-ды автоматты қолданады деп санау.</w:t>
      </w:r>
    </w:p>
    <w:p>
      <w:pPr>
        <w:pStyle w:val="a0"/>
        <w:tabs>
          <w:tab w:val="left" w:pos="1134"/>
        </w:tabs>
        <w:ind w:firstLine="491"/>
        <w:jc w:val="both"/>
        <w:rPr>
          <w:szCs w:val="24"/>
        </w:rPr>
      </w:pPr>
      <w:r>
        <w:rPr>
          <w:rFonts w:ascii="Times New Roman" w:hAnsi="Times New Roman" w:cs="Times New Roman" w:eastAsia="Times New Roman"/>
          <w:sz w:val="24"/>
          <w:szCs w:val="24"/>
        </w:rPr>
        <w:t>EPS үшін тек жыл соңындағы акция санын алу.</w:t>
      </w:r>
    </w:p>
    <w:p>
      <w:pPr>
        <w:pStyle w:val="a0"/>
        <w:tabs>
          <w:tab w:val="left" w:pos="1134"/>
        </w:tabs>
        <w:ind w:firstLine="491"/>
        <w:jc w:val="both"/>
        <w:rPr>
          <w:szCs w:val="24"/>
        </w:rPr>
      </w:pPr>
      <w:r>
        <w:rPr>
          <w:rFonts w:ascii="Times New Roman" w:hAnsi="Times New Roman" w:cs="Times New Roman" w:eastAsia="Times New Roman"/>
          <w:sz w:val="24"/>
          <w:szCs w:val="24"/>
        </w:rPr>
        <w:t>Кез келген сатылатын активті тоқтатылған қызмет деп атау.</w:t>
      </w:r>
    </w:p>
    <w:p>
      <w:pPr>
        <w:pStyle w:val="a0"/>
        <w:tabs>
          <w:tab w:val="left" w:pos="1134"/>
        </w:tabs>
        <w:ind w:firstLine="491"/>
        <w:jc w:val="both"/>
        <w:rPr>
          <w:szCs w:val="24"/>
        </w:rPr>
      </w:pPr>
      <w:r>
        <w:rPr>
          <w:rFonts w:ascii="Times New Roman" w:hAnsi="Times New Roman" w:cs="Times New Roman" w:eastAsia="Times New Roman"/>
          <w:sz w:val="24"/>
          <w:szCs w:val="24"/>
        </w:rPr>
        <w:t>Цифрлық белгіні бастапқы есеппен салыстырмау.</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Бақылау сұрақтары</w:t>
      </w:r>
    </w:p>
    <w:p>
      <w:pPr>
        <w:spacing w:after="80"/>
        <w:ind w:left="170" w:firstLine="709"/>
        <w:jc w:val="both"/>
        <w:rPr>
          <w:szCs w:val="24"/>
        </w:rPr>
      </w:pPr>
      <w:r>
        <w:rPr>
          <w:rFonts w:ascii="Times New Roman" w:hAnsi="Times New Roman" w:cs="Times New Roman" w:eastAsia="Times New Roman"/>
          <w:sz w:val="24"/>
          <w:szCs w:val="24"/>
        </w:rPr>
        <w:t>1. Бағасы алынбаған мәміле байланысты тарап мәмілесі бола ала ма?</w:t>
      </w:r>
    </w:p>
    <w:p>
      <w:pPr>
        <w:spacing w:after="80"/>
        <w:ind w:left="170" w:firstLine="709"/>
        <w:jc w:val="both"/>
        <w:rPr>
          <w:szCs w:val="24"/>
        </w:rPr>
      </w:pPr>
      <w:r>
        <w:rPr>
          <w:rFonts w:ascii="Times New Roman" w:hAnsi="Times New Roman" w:cs="Times New Roman" w:eastAsia="Times New Roman"/>
          <w:sz w:val="24"/>
          <w:szCs w:val="24"/>
        </w:rPr>
        <w:t>2. Акция санына уақыт салмағы не үшін беріледі?</w:t>
      </w:r>
    </w:p>
    <w:p>
      <w:pPr>
        <w:spacing w:after="80"/>
        <w:ind w:left="170" w:firstLine="709"/>
        <w:jc w:val="both"/>
        <w:rPr>
          <w:szCs w:val="24"/>
        </w:rPr>
      </w:pPr>
      <w:r>
        <w:rPr>
          <w:rFonts w:ascii="Times New Roman" w:hAnsi="Times New Roman" w:cs="Times New Roman" w:eastAsia="Times New Roman"/>
          <w:sz w:val="24"/>
          <w:szCs w:val="24"/>
        </w:rPr>
        <w:t>3. IAS 34 есеп жариялау міндетін өзі белгілей ме?</w:t>
      </w:r>
    </w:p>
    <w:p>
      <w:pPr>
        <w:spacing w:after="80"/>
        <w:ind w:left="170" w:firstLine="709"/>
        <w:jc w:val="both"/>
        <w:rPr>
          <w:szCs w:val="24"/>
        </w:rPr>
      </w:pPr>
      <w:r>
        <w:rPr>
          <w:rFonts w:ascii="Times New Roman" w:hAnsi="Times New Roman" w:cs="Times New Roman" w:eastAsia="Times New Roman"/>
          <w:sz w:val="24"/>
          <w:szCs w:val="24"/>
        </w:rPr>
        <w:t>4. IFRS 19 тану мен бағалауды жеңілдете ме?</w:t>
      </w:r>
    </w:p>
    <w:p>
      <w:pPr>
        <w:spacing w:after="80"/>
        <w:ind w:left="170" w:firstLine="709"/>
        <w:jc w:val="both"/>
        <w:rPr>
          <w:szCs w:val="24"/>
        </w:rPr>
      </w:pPr>
      <w:r>
        <w:rPr>
          <w:rFonts w:ascii="Times New Roman" w:hAnsi="Times New Roman" w:cs="Times New Roman" w:eastAsia="Times New Roman"/>
          <w:sz w:val="24"/>
          <w:szCs w:val="24"/>
        </w:rPr>
        <w:t>5. Цифрлық файлдағы қате өлшем бірлігі қандай салдарға әкеледі?</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Өзіңізді тексеріңіз</w:t>
      </w:r>
    </w:p>
    <w:p>
      <w:pPr>
        <w:ind w:firstLine="709"/>
        <w:jc w:val="both"/>
        <w:rPr>
          <w:szCs w:val="24"/>
        </w:rPr>
      </w:pPr>
      <w:r>
        <w:rPr>
          <w:rFonts w:ascii="Times New Roman" w:hAnsi="Times New Roman" w:cs="Times New Roman" w:eastAsia="Times New Roman"/>
          <w:sz w:val="24"/>
          <w:szCs w:val="24"/>
        </w:rPr>
        <w:t>Жабдықтың баланстық құны 500, сату шығыны шегерілген әділ құны 460 мың теңге. Сатуға арналған жіктеудің барлық шарттары орындалса және актив IFRS 5 бағалау талаптарының аясында болса, ол 460-қа дейін төмендетіліп, 40 залал танылады.</w:t>
      </w:r>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Тақырып бойынша ұсынылатын әдебиеттер</w:t>
      </w:r>
    </w:p>
    <w:p>
      <w:pPr>
        <w:spacing w:after="60"/>
        <w:ind w:firstLine="709"/>
        <w:jc w:val="both"/>
        <w:rPr>
          <w:szCs w:val="24"/>
        </w:rPr>
      </w:pPr>
      <w:r>
        <w:rPr>
          <w:rFonts w:ascii="Times New Roman" w:hAnsi="Times New Roman" w:cs="Times New Roman" w:eastAsia="Times New Roman"/>
          <w:sz w:val="24"/>
          <w:szCs w:val="24"/>
        </w:rPr>
        <w:t>[Ә2] Нурсеитов, Э.О. МСФО в Казахстане: принципы перехода и применения / Э.О. Нурсеитов, Д.Э. Нурсеитов.- Изд. 2-е, доп. и перераб.- Алматы: LEM, 2013.- 388 с.</w:t>
      </w:r>
    </w:p>
    <w:p>
      <w:pPr>
        <w:spacing w:after="60"/>
        <w:ind w:firstLine="709"/>
        <w:jc w:val="both"/>
        <w:rPr>
          <w:szCs w:val="24"/>
        </w:rPr>
      </w:pPr>
      <w:r>
        <w:rPr>
          <w:rFonts w:ascii="Times New Roman" w:hAnsi="Times New Roman" w:cs="Times New Roman" w:eastAsia="Times New Roman"/>
          <w:sz w:val="24"/>
          <w:szCs w:val="24"/>
        </w:rPr>
        <w:t>[Ә3] Международные стандарты финансовой отчетности в ред. 2026 г.</w:t>
      </w:r>
    </w:p>
    <w:p>
      <w:pPr>
        <w:spacing w:after="60"/>
        <w:ind w:firstLine="709"/>
        <w:jc w:val="both"/>
        <w:rPr>
          <w:szCs w:val="24"/>
        </w:rPr>
      </w:pPr>
      <w:r>
        <w:rPr>
          <w:rFonts w:ascii="Times New Roman" w:hAnsi="Times New Roman" w:cs="Times New Roman" w:eastAsia="Times New Roman"/>
          <w:sz w:val="24"/>
          <w:szCs w:val="24"/>
        </w:rPr>
        <w:t xml:space="preserve">[Ә5] Селезнева, Н. Н. Анализ финансовой отчетности организации : учебное пособие для студентов вузов по специальности «Бухгалтерский учет, анализ и аудит», слушателей курсов по подготовке и переподготовке бухгалтеров и аудиторов / Н. Н. Селезнева, А. Ф. Ионова. — 3-е изд. — Москва : ЮНИТИ-ДАНА, 2023. — 583 c. — ISBN 978-5-238-01178-3. — Текст : электронный // Цифровой образовательный ресурс IPR SMART : [сайт]. </w:t>
      </w:r>
      <w:hyperlink r:id="rId14">
        <w:r>
          <w:rPr>
            <w:rFonts w:ascii="Times New Roman" w:hAnsi="Times New Roman" w:cs="Times New Roman" w:eastAsia="Times New Roman"/>
            <w:u w:val="single"/>
            <w:color w:val="000000"/>
            <w:sz w:val="24"/>
            <w:szCs w:val="24"/>
          </w:rPr>
          <w:t>Электрондық каталог</w:t>
        </w:r>
      </w:hyperlink>
    </w:p>
    <w:p>
      <w:pPr>
        <w:pStyle w:val="1"/>
        <w:ind w:firstLine="709"/>
        <w:jc w:val="both"/>
        <w:rPr>
          <w:rFonts w:ascii="Times New Roman" w:hAnsi="Times New Roman" w:cs="Times New Roman"/>
          <w:sz w:val="24"/>
          <w:szCs w:val="24"/>
        </w:rPr>
      </w:pPr>
      <w:r>
        <w:rPr>
          <w:rFonts w:ascii="Times New Roman" w:hAnsi="Times New Roman" w:cs="Times New Roman" w:eastAsia="Times New Roman"/>
          <w:sz w:val="24"/>
          <w:szCs w:val="24"/>
        </w:rPr>
        <w:t>Ресми және бастапқы дереккөздер</w:t>
      </w:r>
    </w:p>
    <w:p>
      <w:pPr>
        <w:spacing w:after="60"/>
        <w:ind w:firstLine="709"/>
        <w:jc w:val="both"/>
        <w:rPr>
          <w:szCs w:val="24"/>
        </w:rPr>
      </w:pPr>
      <w:r>
        <w:rPr>
          <w:rFonts w:ascii="Times New Roman" w:hAnsi="Times New Roman" w:cs="Times New Roman" w:eastAsia="Times New Roman"/>
          <w:sz w:val="24"/>
          <w:szCs w:val="24"/>
        </w:rPr>
        <w:t xml:space="preserve">[Н10] IFRS Foundation. IAS 24 Related Party Disclosures. </w:t>
      </w:r>
      <w:hyperlink r:id="rId15">
        <w:r>
          <w:rPr>
            <w:rFonts w:ascii="Times New Roman" w:hAnsi="Times New Roman" w:cs="Times New Roman" w:eastAsia="Times New Roman"/>
            <w:u w:val="single"/>
            <w:color w:val="000000"/>
            <w:sz w:val="24"/>
            <w:szCs w:val="24"/>
          </w:rPr>
          <w:t>Дереккөзді ашу</w:t>
        </w:r>
      </w:hyperlink>
    </w:p>
    <w:p>
      <w:pPr>
        <w:spacing w:after="60"/>
        <w:ind w:firstLine="709"/>
        <w:jc w:val="both"/>
        <w:rPr>
          <w:szCs w:val="24"/>
        </w:rPr>
      </w:pPr>
      <w:r>
        <w:rPr>
          <w:rFonts w:ascii="Times New Roman" w:hAnsi="Times New Roman" w:cs="Times New Roman" w:eastAsia="Times New Roman"/>
          <w:sz w:val="24"/>
          <w:szCs w:val="24"/>
        </w:rPr>
        <w:t xml:space="preserve">[Н11] IFRS Foundation. IAS 33 Earnings per Share. </w:t>
      </w:r>
      <w:hyperlink r:id="rId16">
        <w:r>
          <w:rPr>
            <w:rFonts w:ascii="Times New Roman" w:hAnsi="Times New Roman" w:cs="Times New Roman" w:eastAsia="Times New Roman"/>
            <w:u w:val="single"/>
            <w:color w:val="000000"/>
            <w:sz w:val="24"/>
            <w:szCs w:val="24"/>
          </w:rPr>
          <w:t>Дереккөзді ашу</w:t>
        </w:r>
      </w:hyperlink>
    </w:p>
    <w:p>
      <w:pPr>
        <w:spacing w:after="60"/>
        <w:ind w:firstLine="709"/>
        <w:jc w:val="both"/>
        <w:rPr>
          <w:szCs w:val="24"/>
        </w:rPr>
      </w:pPr>
      <w:r>
        <w:rPr>
          <w:rFonts w:ascii="Times New Roman" w:hAnsi="Times New Roman" w:cs="Times New Roman" w:eastAsia="Times New Roman"/>
          <w:sz w:val="24"/>
          <w:szCs w:val="24"/>
        </w:rPr>
        <w:t xml:space="preserve">[Н12] IFRS Foundation. IFRS 5 Non-current Assets Held for Sale and Discontinued Operations. </w:t>
      </w:r>
      <w:hyperlink r:id="rId17">
        <w:r>
          <w:rPr>
            <w:rFonts w:ascii="Times New Roman" w:hAnsi="Times New Roman" w:cs="Times New Roman" w:eastAsia="Times New Roman"/>
            <w:u w:val="single"/>
            <w:color w:val="000000"/>
            <w:sz w:val="24"/>
            <w:szCs w:val="24"/>
          </w:rPr>
          <w:t>Дереккөзді ашу</w:t>
        </w:r>
      </w:hyperlink>
    </w:p>
    <w:p>
      <w:pPr>
        <w:spacing w:after="60"/>
        <w:ind w:firstLine="709"/>
        <w:jc w:val="both"/>
        <w:rPr>
          <w:szCs w:val="24"/>
        </w:rPr>
      </w:pPr>
      <w:r>
        <w:rPr>
          <w:rFonts w:ascii="Times New Roman" w:hAnsi="Times New Roman" w:cs="Times New Roman" w:eastAsia="Times New Roman"/>
          <w:sz w:val="24"/>
          <w:szCs w:val="24"/>
        </w:rPr>
        <w:t xml:space="preserve">[Н13] IFRS Foundation. IAS 34 Interim Financial Reporting. </w:t>
      </w:r>
      <w:hyperlink r:id="rId18">
        <w:r>
          <w:rPr>
            <w:rFonts w:ascii="Times New Roman" w:hAnsi="Times New Roman" w:cs="Times New Roman" w:eastAsia="Times New Roman"/>
            <w:u w:val="single"/>
            <w:color w:val="000000"/>
            <w:sz w:val="24"/>
            <w:szCs w:val="24"/>
          </w:rPr>
          <w:t>Дереккөзді ашу</w:t>
        </w:r>
      </w:hyperlink>
    </w:p>
    <w:p>
      <w:pPr>
        <w:spacing w:after="60"/>
        <w:ind w:firstLine="709"/>
        <w:jc w:val="both"/>
        <w:rPr>
          <w:szCs w:val="24"/>
        </w:rPr>
      </w:pPr>
      <w:r>
        <w:rPr>
          <w:rFonts w:ascii="Times New Roman" w:hAnsi="Times New Roman" w:cs="Times New Roman" w:eastAsia="Times New Roman"/>
          <w:sz w:val="24"/>
          <w:szCs w:val="24"/>
        </w:rPr>
        <w:t xml:space="preserve">[Н14] IFRS Foundation. IFRS 1 First-time Adoption of International Financial Reporting Standards. </w:t>
      </w:r>
      <w:hyperlink r:id="rId19">
        <w:r>
          <w:rPr>
            <w:rFonts w:ascii="Times New Roman" w:hAnsi="Times New Roman" w:cs="Times New Roman" w:eastAsia="Times New Roman"/>
            <w:u w:val="single"/>
            <w:color w:val="000000"/>
            <w:sz w:val="24"/>
            <w:szCs w:val="24"/>
          </w:rPr>
          <w:t>Дереккөзді ашу</w:t>
        </w:r>
      </w:hyperlink>
    </w:p>
    <w:p>
      <w:pPr>
        <w:spacing w:after="60"/>
        <w:ind w:firstLine="709"/>
        <w:jc w:val="both"/>
        <w:rPr>
          <w:szCs w:val="24"/>
        </w:rPr>
      </w:pPr>
      <w:r>
        <w:rPr>
          <w:rFonts w:ascii="Times New Roman" w:hAnsi="Times New Roman" w:cs="Times New Roman" w:eastAsia="Times New Roman"/>
          <w:sz w:val="24"/>
          <w:szCs w:val="24"/>
        </w:rPr>
        <w:t xml:space="preserve">[Н15] IFRS Foundation. IFRS 19 Subsidiaries without Public Accountability: Disclosures. </w:t>
      </w:r>
      <w:hyperlink r:id="rId20">
        <w:r>
          <w:rPr>
            <w:rFonts w:ascii="Times New Roman" w:hAnsi="Times New Roman" w:cs="Times New Roman" w:eastAsia="Times New Roman"/>
            <w:u w:val="single"/>
            <w:color w:val="000000"/>
            <w:sz w:val="24"/>
            <w:szCs w:val="24"/>
          </w:rPr>
          <w:t>Дереккөзді ашу</w:t>
        </w:r>
      </w:hyperlink>
    </w:p>
    <w:p>
      <w:pPr>
        <w:spacing w:after="60"/>
        <w:ind w:firstLine="709"/>
        <w:jc w:val="both"/>
        <w:rPr>
          <w:szCs w:val="24"/>
        </w:rPr>
      </w:pPr>
      <w:r>
        <w:rPr>
          <w:rFonts w:ascii="Times New Roman" w:hAnsi="Times New Roman" w:cs="Times New Roman" w:eastAsia="Times New Roman"/>
          <w:sz w:val="24"/>
          <w:szCs w:val="24"/>
        </w:rPr>
        <w:t xml:space="preserve">[Н16] IFRS Foundation. IFRS Accounting Taxonomy. </w:t>
      </w:r>
      <w:hyperlink r:id="rId21">
        <w:r>
          <w:rPr>
            <w:rFonts w:ascii="Times New Roman" w:hAnsi="Times New Roman" w:cs="Times New Roman" w:eastAsia="Times New Roman"/>
            <w:u w:val="single"/>
            <w:color w:val="000000"/>
            <w:sz w:val="24"/>
            <w:szCs w:val="24"/>
          </w:rPr>
          <w:t>Дереккөзді ашу</w:t>
        </w:r>
      </w:hyperlink>
    </w:p>
    <w:sectPr w:rsidR="008832B7" w:rsidRPr="00285FFA" w:rsidSect="00034616">
      <w:footerReference w:type="default" r:id="rId11"/>
      <w:pgSz w:w="11906" w:h="16838"/>
      <w:pgMar w:top="1134" w:right="1134" w:bottom="1134" w:left="1304" w:header="45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28C0" w:rsidRDefault="006828C0">
      <w:pPr>
        <w:spacing w:after="0" w:line="240" w:lineRule="auto"/>
      </w:pPr>
      <w:r>
        <w:separator/>
      </w:r>
    </w:p>
  </w:endnote>
  <w:endnote w:type="continuationSeparator" w:id="0">
    <w:p w:rsidR="006828C0" w:rsidRDefault="006828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32B7" w:rsidRDefault="006828C0">
    <w:pPr>
      <w:pStyle w:val="a7"/>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28C0" w:rsidRDefault="006828C0">
      <w:pPr>
        <w:spacing w:after="0" w:line="240" w:lineRule="auto"/>
      </w:pPr>
      <w:r>
        <w:separator/>
      </w:r>
    </w:p>
  </w:footnote>
  <w:footnote w:type="continuationSeparator" w:id="0">
    <w:p w:rsidR="006828C0" w:rsidRDefault="006828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83B0E"/>
    <w:rsid w:val="000A5FE7"/>
    <w:rsid w:val="0015074B"/>
    <w:rsid w:val="00226DD7"/>
    <w:rsid w:val="00285FFA"/>
    <w:rsid w:val="0029639D"/>
    <w:rsid w:val="00326F90"/>
    <w:rsid w:val="006828C0"/>
    <w:rsid w:val="008832B7"/>
    <w:rsid w:val="00AA1D8D"/>
    <w:rsid w:val="00B47730"/>
    <w:rsid w:val="00B93A4F"/>
    <w:rsid w:val="00CB0664"/>
    <w:rsid w:val="00E111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9CD36D"/>
  <w14:defaultImageDpi w14:val="300"/>
  <w15:docId w15:val="{993F3D0F-53E7-432A-AA21-12E8BE20E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100" w:line="264" w:lineRule="auto"/>
    </w:pPr>
    <w:rPr>
      <w:rFonts w:ascii="Times New Roman" w:eastAsia="Times New Roman" w:hAnsi="Times New Roman" w:cs="Times New Roman"/>
      <w:color w:val="000000"/>
      <w:sz w:val="24"/>
      <w:lang w:val="kk-KZ"/>
    </w:rPr>
  </w:style>
  <w:style w:type="paragraph" w:styleId="1">
    <w:name w:val="heading 1"/>
    <w:basedOn w:val="a1"/>
    <w:next w:val="a1"/>
    <w:link w:val="10"/>
    <w:uiPriority w:val="9"/>
    <w:qFormat/>
    <w:rsid w:val="00FC693F"/>
    <w:pPr>
      <w:keepNext/>
      <w:keepLines/>
      <w:spacing w:before="200"/>
      <w:outlineLvl w:val="0"/>
    </w:pPr>
    <w:rPr>
      <w:rFonts w:asciiTheme="majorHAnsi" w:eastAsiaTheme="majorEastAsia" w:hAnsiTheme="majorHAnsi" w:cstheme="majorBidi"/>
      <w:b/>
      <w:bCs/>
      <w:sz w:val="26"/>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b/>
      <w:spacing w:val="5"/>
      <w:kern w:val="28"/>
      <w:sz w:val="3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spacing w:val="15"/>
      <w:sz w:val="22"/>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spacing w:after="60"/>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spacing w:after="60"/>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prbookshop.ru/123545.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adilet.zan.kz/kaz/docs/Z070000234_" TargetMode="External"/><Relationship Id="rId4" Type="http://schemas.openxmlformats.org/officeDocument/2006/relationships/settings" Target="settings.xml"/><Relationship Id="rId9" Type="http://schemas.openxmlformats.org/officeDocument/2006/relationships/hyperlink" Target="https://www.ifrs.org/issued-standards/list-of-standards/conceptual-framework/" TargetMode="External"/><Relationship Id="rId14" Type="http://schemas.openxmlformats.org/officeDocument/2006/relationships/hyperlink" Target="https://www.iprbookshop.ru/142664.html" TargetMode="External"/><Relationship Id="rId15" Type="http://schemas.openxmlformats.org/officeDocument/2006/relationships/hyperlink" Target="https://www.ifrs.org/issued-standards/list-of-standards/ias-24-related-party-disclosures/" TargetMode="External"/><Relationship Id="rId16" Type="http://schemas.openxmlformats.org/officeDocument/2006/relationships/hyperlink" Target="https://www.ifrs.org/issued-standards/list-of-standards/ias-33-earnings-per-share/" TargetMode="External"/><Relationship Id="rId17" Type="http://schemas.openxmlformats.org/officeDocument/2006/relationships/hyperlink" Target="https://www.ifrs.org/issued-standards/list-of-standards/ifrs-5-non-current-assets-held-for-sale-and-discontinued-operations/" TargetMode="External"/><Relationship Id="rId18" Type="http://schemas.openxmlformats.org/officeDocument/2006/relationships/hyperlink" Target="https://www.ifrs.org/issued-standards/list-of-standards/ias-34-interim-financial-reporting/" TargetMode="External"/><Relationship Id="rId19" Type="http://schemas.openxmlformats.org/officeDocument/2006/relationships/hyperlink" Target="https://www.ifrs.org/issued-standards/list-of-standards/ifrs-1-first-time-adoption-of-ifrs/" TargetMode="External"/><Relationship Id="rId20" Type="http://schemas.openxmlformats.org/officeDocument/2006/relationships/hyperlink" Target="https://www.ifrs.org/issued-standards/list-of-standards/ifrs-19-subsidiaries-without-public-accountability-disclosures/" TargetMode="External"/><Relationship Id="rId21" Type="http://schemas.openxmlformats.org/officeDocument/2006/relationships/hyperlink" Target="https://www.ifrs.org/issued-standards/ifrs-taxon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40BCA-429B-43FA-8F9E-8A8797148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983</Words>
  <Characters>5608</Characters>
  <Application>Microsoft Office Word</Application>
  <DocSecurity>0</DocSecurity>
  <Lines>46</Lines>
  <Paragraphs>13</Paragraphs>
  <ScaleCrop>false</ScaleCrop>
  <HeadingPairs>
    <vt:vector size="6" baseType="variant">
      <vt:variant>
        <vt:lpstr>Название</vt:lpstr>
      </vt:variant>
      <vt:variant>
        <vt:i4>1</vt:i4>
      </vt:variant>
      <vt:variant>
        <vt:lpstr>Заголовки</vt:lpstr>
      </vt:variant>
      <vt:variant>
        <vt:i4>10</vt:i4>
      </vt:variant>
      <vt:variant>
        <vt:lpstr>Title</vt:lpstr>
      </vt:variant>
      <vt:variant>
        <vt:i4>1</vt:i4>
      </vt:variant>
    </vt:vector>
  </HeadingPairs>
  <TitlesOfParts>
    <vt:vector size="12" baseType="lpstr">
      <vt:lpstr>1 дәріс Қаржылық есептіліктің тұжырымдамалық және нормативтік негіздері</vt:lpstr>
      <vt:lpstr>1 Қаржылық есептілік қандай сұрақтарға жауап береді</vt:lpstr>
      <vt:lpstr>2 Есептіліктің бес элементі</vt:lpstr>
      <vt:lpstr>3 Пайдалы ақпараттың сапасы</vt:lpstr>
      <vt:lpstr>4 Тану, бағалау және Қазақстандағы реттеу</vt:lpstr>
      <vt:lpstr>5 Операцияны түсіндіретін мысал</vt:lpstr>
      <vt:lpstr>Жиі кездесетін қателер</vt:lpstr>
      <vt:lpstr>Бақылау сұрақтары</vt:lpstr>
      <vt:lpstr>Өзіңізді тексеріңіз</vt:lpstr>
      <vt:lpstr>Тақырып бойынша ұсынылатын әдебиеттер</vt:lpstr>
      <vt:lpstr>Ресми және бастапқы дереккөздер</vt:lpstr>
      <vt:lpstr/>
    </vt:vector>
  </TitlesOfParts>
  <Manager/>
  <Company/>
  <LinksUpToDate>false</LinksUpToDate>
  <CharactersWithSpaces>6578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Есептілікті аяқтау және ұсыну</dc:title>
  <dc:subject>Қаржылық есептілікті жасау және талдау</dc:subject>
  <dc:creator>Гульжан Байтикенова</dc:creator>
  <cp:keywords/>
  <dc:description>generated by python-docx</dc:description>
  <cp:lastModifiedBy>Гульжан Байтикенова</cp:lastModifiedBy>
  <cp:revision>3</cp:revision>
  <dcterms:created xsi:type="dcterms:W3CDTF">2026-10-21T06:13:00Z</dcterms:created>
  <dcterms:modified xsi:type="dcterms:W3CDTF">2026-10-21T06:15:00Z</dcterms:modified>
  <cp:category/>
</cp:coreProperties>
</file>