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8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Меншікті капиталдағы өзгерістер және капитал туралы ақпаратты ашып көрсету</w:t>
      </w:r>
    </w:p>
    <w:p>
      <w:pPr>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Капиталдың құрамын түсіндіру, меншік иелерімен операцияларды кезең нәтижесінен ажырату және капитал қозғалысы есебін құрастыру.</w:t>
      </w:r>
    </w:p>
    <w:p>
      <w:pPr>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Меншікті капиталдың экономикалық мағынасы; Капиталдың негізгі құрамдас бөліктері; Өзгерістерді себептеріне қарай бөлу; Капитал қозғалысы есебін жасау мысалы; Ретроспективті түзетуді қалай көрсету керек; Капиталды басқару туралы ақпарат.</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Меншікті капиталдың экономикалық мағынасы</w:t>
      </w:r>
    </w:p>
    <w:p>
      <w:pPr>
        <w:ind w:firstLine="709"/>
        <w:jc w:val="both"/>
        <w:rPr>
          <w:szCs w:val="24"/>
        </w:rPr>
      </w:pPr>
      <w:r>
        <w:rPr>
          <w:rFonts w:ascii="Times New Roman" w:hAnsi="Times New Roman" w:cs="Times New Roman" w:eastAsia="Times New Roman"/>
          <w:sz w:val="24"/>
          <w:szCs w:val="24"/>
        </w:rPr>
        <w:t>Меншікті капитал — активтерден барлық міндеттемелер шегерілгеннен кейін қалатын үлес. Ол ұйымның банк шотында бөлек сақталатын ақша қоры емес. Меншік иесінің бастапқы салымы кейін жабдыққа, қорға және басқа активтерге жұмсалуы мүмкін, бірақ капитал қаржыландыру көзі ретінде есепте сақталады.</w:t>
      </w:r>
    </w:p>
    <w:p>
      <w:pPr>
        <w:ind w:firstLine="709"/>
        <w:jc w:val="both"/>
        <w:rPr>
          <w:szCs w:val="24"/>
        </w:rPr>
      </w:pPr>
      <w:r>
        <w:rPr>
          <w:rFonts w:ascii="Times New Roman" w:hAnsi="Times New Roman" w:cs="Times New Roman" w:eastAsia="Times New Roman"/>
          <w:sz w:val="24"/>
          <w:szCs w:val="24"/>
        </w:rPr>
        <w:t>Капиталдың оң болуы қысқа мерзімдегі барлық төлемге ақша жеткілікті екенін білдірмейді. Мысалы, капитал негізгі құралдармен қамтамасыз етіліп, ақша қалдығы аз болуы мүмкін. Теріс капитал да жеке өзі банкроттықтың заңдық қорытындысы емес, бірақ жинақталған залал мен қаржыландыру тәуекелін талдауды талап етеді.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Капиталдың негізгі құрамдас бөліктері</w:t>
      </w:r>
    </w:p>
    <w:p>
      <w:pPr>
        <w:ind w:firstLine="709"/>
        <w:jc w:val="both"/>
        <w:rPr>
          <w:szCs w:val="24"/>
        </w:rPr>
      </w:pPr>
      <w:r>
        <w:rPr>
          <w:rFonts w:ascii="Times New Roman" w:hAnsi="Times New Roman" w:cs="Times New Roman" w:eastAsia="Times New Roman"/>
          <w:sz w:val="24"/>
          <w:szCs w:val="24"/>
        </w:rPr>
        <w:t>Жарғылық немесе акционерлік капитал меншік иелерінің заңды түрде қалыптастырылған салымын көрсетеді. Эмиссиялық кіріс акцияны номиналынан жоғары орналастырудан пайда болуы мүмкін. Бөлінбеген пайда — бұрынғы және ағымдағы нәтижелерден меншік иелеріне бөлінбей қалған сома. Қайта бағалау және өзге резервтер тиісті операциялардың жинақталған әсерін көрсетеді.</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Құрамдас бөлік</w:t>
            </w:r>
          </w:p>
        </w:tc>
        <w:tc>
          <w:tcPr>
            <w:tcW w:type="dxa" w:w="3219"/>
            <w:vAlign w:val="center"/>
            <w:shd w:fill="E9EEF4"/>
          </w:tcPr>
          <w:p>
            <w:pPr>
              <w:spacing w:line="252" w:lineRule="auto" w:after="20"/>
            </w:pPr>
            <w:r>
              <w:rPr>
                <w:rFonts w:ascii="Times New Roman" w:hAnsi="Times New Roman" w:cs="Times New Roman" w:eastAsia="Times New Roman"/>
                <w:b/>
                <w:sz w:val="24"/>
                <w:szCs w:val="24"/>
              </w:rPr>
              <w:t>Қалай қалыптасуы мүмкін</w:t>
            </w:r>
          </w:p>
        </w:tc>
        <w:tc>
          <w:tcPr>
            <w:tcW w:type="dxa" w:w="3219"/>
            <w:vAlign w:val="center"/>
            <w:shd w:fill="E9EEF4"/>
          </w:tcPr>
          <w:p>
            <w:pPr>
              <w:spacing w:line="252" w:lineRule="auto" w:after="20"/>
            </w:pPr>
            <w:r>
              <w:rPr>
                <w:rFonts w:ascii="Times New Roman" w:hAnsi="Times New Roman" w:cs="Times New Roman" w:eastAsia="Times New Roman"/>
                <w:b/>
                <w:sz w:val="24"/>
                <w:szCs w:val="24"/>
              </w:rPr>
              <w:t>Немен шатастырмау керек</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Жарғылық капитал</w:t>
            </w:r>
          </w:p>
        </w:tc>
        <w:tc>
          <w:tcPr>
            <w:tcW w:type="dxa" w:w="3219"/>
            <w:vAlign w:val="center"/>
          </w:tcPr>
          <w:p>
            <w:pPr>
              <w:spacing w:line="252" w:lineRule="auto" w:after="20"/>
            </w:pPr>
            <w:r>
              <w:rPr>
                <w:rFonts w:ascii="Times New Roman" w:hAnsi="Times New Roman" w:cs="Times New Roman" w:eastAsia="Times New Roman"/>
                <w:sz w:val="24"/>
                <w:szCs w:val="24"/>
              </w:rPr>
              <w:t>Меншік иесінің салымы</w:t>
            </w:r>
          </w:p>
        </w:tc>
        <w:tc>
          <w:tcPr>
            <w:tcW w:type="dxa" w:w="3219"/>
            <w:vAlign w:val="center"/>
          </w:tcPr>
          <w:p>
            <w:pPr>
              <w:spacing w:line="252" w:lineRule="auto" w:after="20"/>
            </w:pPr>
            <w:r>
              <w:rPr>
                <w:rFonts w:ascii="Times New Roman" w:hAnsi="Times New Roman" w:cs="Times New Roman" w:eastAsia="Times New Roman"/>
                <w:sz w:val="24"/>
                <w:szCs w:val="24"/>
              </w:rPr>
              <w:t>Сату кірісімен</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Эмиссиялық кіріс</w:t>
            </w:r>
          </w:p>
        </w:tc>
        <w:tc>
          <w:tcPr>
            <w:tcW w:type="dxa" w:w="3219"/>
            <w:vAlign w:val="center"/>
          </w:tcPr>
          <w:p>
            <w:pPr>
              <w:spacing w:line="252" w:lineRule="auto" w:after="20"/>
            </w:pPr>
            <w:r>
              <w:rPr>
                <w:rFonts w:ascii="Times New Roman" w:hAnsi="Times New Roman" w:cs="Times New Roman" w:eastAsia="Times New Roman"/>
                <w:sz w:val="24"/>
                <w:szCs w:val="24"/>
              </w:rPr>
              <w:t>Акцияны номиналдан жоғары орналастыру</w:t>
            </w:r>
          </w:p>
        </w:tc>
        <w:tc>
          <w:tcPr>
            <w:tcW w:type="dxa" w:w="3219"/>
            <w:vAlign w:val="center"/>
          </w:tcPr>
          <w:p>
            <w:pPr>
              <w:spacing w:line="252" w:lineRule="auto" w:after="20"/>
            </w:pPr>
            <w:r>
              <w:rPr>
                <w:rFonts w:ascii="Times New Roman" w:hAnsi="Times New Roman" w:cs="Times New Roman" w:eastAsia="Times New Roman"/>
                <w:sz w:val="24"/>
                <w:szCs w:val="24"/>
              </w:rPr>
              <w:t>Кезең пайдасымен</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Бөлінбеген пайда</w:t>
            </w:r>
          </w:p>
        </w:tc>
        <w:tc>
          <w:tcPr>
            <w:tcW w:type="dxa" w:w="3219"/>
            <w:vAlign w:val="center"/>
          </w:tcPr>
          <w:p>
            <w:pPr>
              <w:spacing w:line="252" w:lineRule="auto" w:after="20"/>
            </w:pPr>
            <w:r>
              <w:rPr>
                <w:rFonts w:ascii="Times New Roman" w:hAnsi="Times New Roman" w:cs="Times New Roman" w:eastAsia="Times New Roman"/>
                <w:sz w:val="24"/>
                <w:szCs w:val="24"/>
              </w:rPr>
              <w:t>Пайдадан дивиденд пен өзге түзетулерді шегеру</w:t>
            </w:r>
          </w:p>
        </w:tc>
        <w:tc>
          <w:tcPr>
            <w:tcW w:type="dxa" w:w="3219"/>
            <w:vAlign w:val="center"/>
          </w:tcPr>
          <w:p>
            <w:pPr>
              <w:spacing w:line="252" w:lineRule="auto" w:after="20"/>
            </w:pPr>
            <w:r>
              <w:rPr>
                <w:rFonts w:ascii="Times New Roman" w:hAnsi="Times New Roman" w:cs="Times New Roman" w:eastAsia="Times New Roman"/>
                <w:sz w:val="24"/>
                <w:szCs w:val="24"/>
              </w:rPr>
              <w:t>Ақша қалдығымен</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Қайта бағалау резерві</w:t>
            </w:r>
          </w:p>
        </w:tc>
        <w:tc>
          <w:tcPr>
            <w:tcW w:type="dxa" w:w="3219"/>
            <w:vAlign w:val="center"/>
          </w:tcPr>
          <w:p>
            <w:pPr>
              <w:spacing w:line="252" w:lineRule="auto" w:after="20"/>
            </w:pPr>
            <w:r>
              <w:rPr>
                <w:rFonts w:ascii="Times New Roman" w:hAnsi="Times New Roman" w:cs="Times New Roman" w:eastAsia="Times New Roman"/>
                <w:sz w:val="24"/>
                <w:szCs w:val="24"/>
              </w:rPr>
              <w:t>Тиісті стандартқа сай қайта бағалау өсімі</w:t>
            </w:r>
          </w:p>
        </w:tc>
        <w:tc>
          <w:tcPr>
            <w:tcW w:type="dxa" w:w="3219"/>
            <w:vAlign w:val="center"/>
          </w:tcPr>
          <w:p>
            <w:pPr>
              <w:spacing w:line="252" w:lineRule="auto" w:after="20"/>
            </w:pPr>
            <w:r>
              <w:rPr>
                <w:rFonts w:ascii="Times New Roman" w:hAnsi="Times New Roman" w:cs="Times New Roman" w:eastAsia="Times New Roman"/>
                <w:sz w:val="24"/>
                <w:szCs w:val="24"/>
              </w:rPr>
              <w:t>Ақшалай түсіммен</w:t>
            </w:r>
          </w:p>
        </w:tc>
      </w:tr>
    </w:tbl>
    <w:p>
      <w:pPr>
        <w:ind w:firstLine="709"/>
        <w:jc w:val="both"/>
        <w:rPr>
          <w:szCs w:val="24"/>
        </w:rPr>
      </w:pPr>
    </w:p>
    <w:p>
      <w:pPr>
        <w:ind w:firstLine="709"/>
        <w:jc w:val="both"/>
        <w:rPr>
          <w:szCs w:val="24"/>
        </w:rPr>
      </w:pPr>
      <w:r>
        <w:rPr>
          <w:rFonts w:ascii="Times New Roman" w:hAnsi="Times New Roman" w:cs="Times New Roman" w:eastAsia="Times New Roman"/>
          <w:sz w:val="24"/>
          <w:szCs w:val="24"/>
        </w:rPr>
        <w:t>Капитал құрамындағы барлық резерв бірдей мақсатта пайдаланылмайды. Резервтің атауын, қалыптасу негізін және оны ауыстыру тәртібін түсіндіру керек. Бухгалтерлік капиталдың сомасы мен заң бойынша бөлуге болатын пайданың сомасы да әрдайым сәйкес келе бермейді.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Өзгерістерді себептеріне қарай бөлу</w:t>
      </w:r>
    </w:p>
    <w:p>
      <w:pPr>
        <w:ind w:firstLine="709"/>
        <w:jc w:val="both"/>
        <w:rPr>
          <w:szCs w:val="24"/>
        </w:rPr>
      </w:pPr>
      <w:r>
        <w:rPr>
          <w:rFonts w:ascii="Times New Roman" w:hAnsi="Times New Roman" w:cs="Times New Roman" w:eastAsia="Times New Roman"/>
          <w:sz w:val="24"/>
          <w:szCs w:val="24"/>
        </w:rPr>
        <w:t>Капитал қозғалысын үш топпен түсіндіруге болады. Біріншісі — таза пайда мен өзге жиынтық кіріс. Екіншісі — меншік иелері меншік иесі ретінде әрекет еткендегі операциялар: салым, дивиденд, өз акцияларын сатып алу. Үшіншісі — ретроспективті түзетулер мен капитал ішіндегі ауыстырулар. Есеп әрбір құрамдас бөліктің бастапқы және соңғы сомасын байланыстырады. [Н6]</w:t>
      </w:r>
    </w:p>
    <w:p>
      <w:pPr>
        <w:ind w:firstLine="709"/>
        <w:jc w:val="both"/>
        <w:rPr>
          <w:szCs w:val="24"/>
        </w:rPr>
      </w:pPr>
      <w:r>
        <w:rPr>
          <w:rFonts w:ascii="Times New Roman" w:hAnsi="Times New Roman" w:cs="Times New Roman" w:eastAsia="Times New Roman"/>
          <w:sz w:val="24"/>
          <w:szCs w:val="24"/>
        </w:rPr>
        <w:t>Дивиденд кезең шығысы емес, капиталды бөлу болып саналады. Қосымша салым да ұйымның табыстылығын арттырған кіріс емес. Ал резервтен бөлінбеген пайдаға капитал ішіндегі ауыстыру жалпы капиталды өзгертпейді. Осы айырмашылықтар капитал өсімін дұрыс түсіндіруге мүмкіндік береді.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Капитал қозғалысы есебін жасау мысалы</w:t>
      </w:r>
    </w:p>
    <w:p>
      <w:pPr>
        <w:ind w:firstLine="709"/>
        <w:jc w:val="both"/>
        <w:rPr>
          <w:szCs w:val="24"/>
        </w:rPr>
      </w:pPr>
      <w:r>
        <w:rPr>
          <w:rFonts w:ascii="Times New Roman" w:hAnsi="Times New Roman" w:cs="Times New Roman" w:eastAsia="Times New Roman"/>
          <w:sz w:val="24"/>
          <w:szCs w:val="24"/>
        </w:rPr>
        <w:t>«АрнаӨндіріс» капиталы жыл басында 1 100 мың теңге: жарғылық капитал 800, бөлінбеген пайда 300. Жылдың таза пайдасы 350, өзге жиынтық кірістегі салықтан кейінгі қайта бағалау өсімі 20, дивиденд 120. Жаңа салым, өз акцияларын сатып алу және өткен кезеңді түзету жоқ.</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408"/>
        <w:gridCol w:w="1515"/>
        <w:gridCol w:w="1515"/>
        <w:gridCol w:w="1515"/>
        <w:gridCol w:w="1515"/>
      </w:tblGrid>
      <w:tr>
        <w:trPr>
          <w:tblHeader/>
          <w:cantSplit/>
        </w:trPr>
        <w:tc>
          <w:tcPr>
            <w:tcW w:type="dxa" w:w="3408"/>
            <w:vAlign w:val="center"/>
            <w:shd w:fill="E9EEF4"/>
          </w:tcPr>
          <w:p>
            <w:pPr>
              <w:spacing w:line="252" w:lineRule="auto" w:after="20"/>
            </w:pPr>
            <w:r>
              <w:rPr>
                <w:rFonts w:ascii="Times New Roman" w:hAnsi="Times New Roman" w:cs="Times New Roman" w:eastAsia="Times New Roman"/>
                <w:b/>
                <w:sz w:val="24"/>
                <w:szCs w:val="24"/>
              </w:rPr>
              <w:t>Өзгеріс</w:t>
            </w:r>
          </w:p>
        </w:tc>
        <w:tc>
          <w:tcPr>
            <w:tcW w:type="dxa" w:w="1515"/>
            <w:vAlign w:val="center"/>
            <w:shd w:fill="E9EEF4"/>
          </w:tcPr>
          <w:p>
            <w:pPr>
              <w:spacing w:line="252" w:lineRule="auto" w:after="20"/>
            </w:pPr>
            <w:r>
              <w:rPr>
                <w:rFonts w:ascii="Times New Roman" w:hAnsi="Times New Roman" w:cs="Times New Roman" w:eastAsia="Times New Roman"/>
                <w:b/>
                <w:sz w:val="24"/>
                <w:szCs w:val="24"/>
              </w:rPr>
              <w:t>Жарғылық капитал</w:t>
            </w:r>
          </w:p>
        </w:tc>
        <w:tc>
          <w:tcPr>
            <w:tcW w:type="dxa" w:w="1515"/>
            <w:vAlign w:val="center"/>
            <w:shd w:fill="E9EEF4"/>
          </w:tcPr>
          <w:p>
            <w:pPr>
              <w:spacing w:line="252" w:lineRule="auto" w:after="20"/>
            </w:pPr>
            <w:r>
              <w:rPr>
                <w:rFonts w:ascii="Times New Roman" w:hAnsi="Times New Roman" w:cs="Times New Roman" w:eastAsia="Times New Roman"/>
                <w:b/>
                <w:sz w:val="24"/>
                <w:szCs w:val="24"/>
              </w:rPr>
              <w:t>Бөлінбеген пайда</w:t>
            </w:r>
          </w:p>
        </w:tc>
        <w:tc>
          <w:tcPr>
            <w:tcW w:type="dxa" w:w="1515"/>
            <w:vAlign w:val="center"/>
            <w:shd w:fill="E9EEF4"/>
          </w:tcPr>
          <w:p>
            <w:pPr>
              <w:spacing w:line="252" w:lineRule="auto" w:after="20"/>
            </w:pPr>
            <w:r>
              <w:rPr>
                <w:rFonts w:ascii="Times New Roman" w:hAnsi="Times New Roman" w:cs="Times New Roman" w:eastAsia="Times New Roman"/>
                <w:b/>
                <w:sz w:val="24"/>
                <w:szCs w:val="24"/>
              </w:rPr>
              <w:t>Қайта бағалау резерві</w:t>
            </w:r>
          </w:p>
        </w:tc>
        <w:tc>
          <w:tcPr>
            <w:tcW w:type="dxa" w:w="1515"/>
            <w:vAlign w:val="center"/>
            <w:shd w:fill="E9EEF4"/>
          </w:tcPr>
          <w:p>
            <w:pPr>
              <w:spacing w:line="252" w:lineRule="auto" w:after="20"/>
            </w:pPr>
            <w:r>
              <w:rPr>
                <w:rFonts w:ascii="Times New Roman" w:hAnsi="Times New Roman" w:cs="Times New Roman" w:eastAsia="Times New Roman"/>
                <w:b/>
                <w:sz w:val="24"/>
                <w:szCs w:val="24"/>
              </w:rPr>
              <w:t>Барлығы</w:t>
            </w:r>
          </w:p>
        </w:tc>
      </w:tr>
      <w:tr>
        <w:trPr>
          <w:cantSplit/>
        </w:trPr>
        <w:tc>
          <w:tcPr>
            <w:tcW w:type="dxa" w:w="3408"/>
            <w:vAlign w:val="center"/>
          </w:tcPr>
          <w:p>
            <w:pPr>
              <w:spacing w:line="252" w:lineRule="auto" w:after="20"/>
            </w:pPr>
            <w:r>
              <w:rPr>
                <w:rFonts w:ascii="Times New Roman" w:hAnsi="Times New Roman" w:cs="Times New Roman" w:eastAsia="Times New Roman"/>
                <w:sz w:val="24"/>
                <w:szCs w:val="24"/>
              </w:rPr>
              <w:t>Жыл басындағы қалдық</w:t>
            </w:r>
          </w:p>
        </w:tc>
        <w:tc>
          <w:tcPr>
            <w:tcW w:type="dxa" w:w="1515"/>
            <w:vAlign w:val="center"/>
          </w:tcPr>
          <w:p>
            <w:pPr>
              <w:spacing w:line="252" w:lineRule="auto" w:after="20"/>
              <w:jc w:val="center"/>
            </w:pPr>
            <w:r>
              <w:rPr>
                <w:rFonts w:ascii="Times New Roman" w:hAnsi="Times New Roman" w:cs="Times New Roman" w:eastAsia="Times New Roman"/>
                <w:sz w:val="24"/>
                <w:szCs w:val="24"/>
              </w:rPr>
              <w:t>800</w:t>
            </w:r>
          </w:p>
        </w:tc>
        <w:tc>
          <w:tcPr>
            <w:tcW w:type="dxa" w:w="1515"/>
            <w:vAlign w:val="center"/>
          </w:tcPr>
          <w:p>
            <w:pPr>
              <w:spacing w:line="252" w:lineRule="auto" w:after="20"/>
              <w:jc w:val="center"/>
            </w:pPr>
            <w:r>
              <w:rPr>
                <w:rFonts w:ascii="Times New Roman" w:hAnsi="Times New Roman" w:cs="Times New Roman" w:eastAsia="Times New Roman"/>
                <w:sz w:val="24"/>
                <w:szCs w:val="24"/>
              </w:rPr>
              <w:t>300</w:t>
            </w:r>
          </w:p>
        </w:tc>
        <w:tc>
          <w:tcPr>
            <w:tcW w:type="dxa" w:w="1515"/>
            <w:vAlign w:val="center"/>
          </w:tcPr>
          <w:p>
            <w:pPr>
              <w:spacing w:line="252" w:lineRule="auto" w:after="20"/>
              <w:jc w:val="center"/>
            </w:pPr>
            <w:r>
              <w:rPr>
                <w:rFonts w:ascii="Times New Roman" w:hAnsi="Times New Roman" w:cs="Times New Roman" w:eastAsia="Times New Roman"/>
                <w:sz w:val="24"/>
                <w:szCs w:val="24"/>
              </w:rPr>
              <w:t>0</w:t>
            </w:r>
          </w:p>
        </w:tc>
        <w:tc>
          <w:tcPr>
            <w:tcW w:type="dxa" w:w="1515"/>
            <w:vAlign w:val="center"/>
          </w:tcPr>
          <w:p>
            <w:pPr>
              <w:spacing w:line="252" w:lineRule="auto" w:after="20"/>
              <w:jc w:val="center"/>
            </w:pPr>
            <w:r>
              <w:rPr>
                <w:rFonts w:ascii="Times New Roman" w:hAnsi="Times New Roman" w:cs="Times New Roman" w:eastAsia="Times New Roman"/>
                <w:sz w:val="24"/>
                <w:szCs w:val="24"/>
              </w:rPr>
              <w:t>1 100</w:t>
            </w:r>
          </w:p>
        </w:tc>
      </w:tr>
      <w:tr>
        <w:trPr>
          <w:cantSplit/>
        </w:trPr>
        <w:tc>
          <w:tcPr>
            <w:tcW w:type="dxa" w:w="3408"/>
            <w:vAlign w:val="center"/>
          </w:tcPr>
          <w:p>
            <w:pPr>
              <w:spacing w:line="252" w:lineRule="auto" w:after="20"/>
            </w:pPr>
            <w:r>
              <w:rPr>
                <w:rFonts w:ascii="Times New Roman" w:hAnsi="Times New Roman" w:cs="Times New Roman" w:eastAsia="Times New Roman"/>
                <w:sz w:val="24"/>
                <w:szCs w:val="24"/>
              </w:rPr>
              <w:t>Таза пайда</w:t>
            </w:r>
          </w:p>
        </w:tc>
        <w:tc>
          <w:tcPr>
            <w:tcW w:type="dxa" w:w="1515"/>
            <w:vAlign w:val="center"/>
          </w:tcPr>
          <w:p>
            <w:pPr>
              <w:spacing w:line="252" w:lineRule="auto" w:after="20"/>
              <w:jc w:val="center"/>
            </w:pPr>
            <w:r>
              <w:rPr>
                <w:rFonts w:ascii="Times New Roman" w:hAnsi="Times New Roman" w:cs="Times New Roman" w:eastAsia="Times New Roman"/>
                <w:sz w:val="24"/>
                <w:szCs w:val="24"/>
              </w:rPr>
              <w:t>0</w:t>
            </w:r>
          </w:p>
        </w:tc>
        <w:tc>
          <w:tcPr>
            <w:tcW w:type="dxa" w:w="1515"/>
            <w:vAlign w:val="center"/>
          </w:tcPr>
          <w:p>
            <w:pPr>
              <w:spacing w:line="252" w:lineRule="auto" w:after="20"/>
              <w:jc w:val="center"/>
            </w:pPr>
            <w:r>
              <w:rPr>
                <w:rFonts w:ascii="Times New Roman" w:hAnsi="Times New Roman" w:cs="Times New Roman" w:eastAsia="Times New Roman"/>
                <w:sz w:val="24"/>
                <w:szCs w:val="24"/>
              </w:rPr>
              <w:t>+350</w:t>
            </w:r>
          </w:p>
        </w:tc>
        <w:tc>
          <w:tcPr>
            <w:tcW w:type="dxa" w:w="1515"/>
            <w:vAlign w:val="center"/>
          </w:tcPr>
          <w:p>
            <w:pPr>
              <w:spacing w:line="252" w:lineRule="auto" w:after="20"/>
              <w:jc w:val="center"/>
            </w:pPr>
            <w:r>
              <w:rPr>
                <w:rFonts w:ascii="Times New Roman" w:hAnsi="Times New Roman" w:cs="Times New Roman" w:eastAsia="Times New Roman"/>
                <w:sz w:val="24"/>
                <w:szCs w:val="24"/>
              </w:rPr>
              <w:t>0</w:t>
            </w:r>
          </w:p>
        </w:tc>
        <w:tc>
          <w:tcPr>
            <w:tcW w:type="dxa" w:w="1515"/>
            <w:vAlign w:val="center"/>
          </w:tcPr>
          <w:p>
            <w:pPr>
              <w:spacing w:line="252" w:lineRule="auto" w:after="20"/>
              <w:jc w:val="center"/>
            </w:pPr>
            <w:r>
              <w:rPr>
                <w:rFonts w:ascii="Times New Roman" w:hAnsi="Times New Roman" w:cs="Times New Roman" w:eastAsia="Times New Roman"/>
                <w:sz w:val="24"/>
                <w:szCs w:val="24"/>
              </w:rPr>
              <w:t>+350</w:t>
            </w:r>
          </w:p>
        </w:tc>
      </w:tr>
      <w:tr>
        <w:trPr>
          <w:cantSplit/>
        </w:trPr>
        <w:tc>
          <w:tcPr>
            <w:tcW w:type="dxa" w:w="3408"/>
            <w:vAlign w:val="center"/>
          </w:tcPr>
          <w:p>
            <w:pPr>
              <w:spacing w:line="252" w:lineRule="auto" w:after="20"/>
            </w:pPr>
            <w:r>
              <w:rPr>
                <w:rFonts w:ascii="Times New Roman" w:hAnsi="Times New Roman" w:cs="Times New Roman" w:eastAsia="Times New Roman"/>
                <w:sz w:val="24"/>
                <w:szCs w:val="24"/>
              </w:rPr>
              <w:t>Өзге жиынтық кіріс</w:t>
            </w:r>
          </w:p>
        </w:tc>
        <w:tc>
          <w:tcPr>
            <w:tcW w:type="dxa" w:w="1515"/>
            <w:vAlign w:val="center"/>
          </w:tcPr>
          <w:p>
            <w:pPr>
              <w:spacing w:line="252" w:lineRule="auto" w:after="20"/>
              <w:jc w:val="center"/>
            </w:pPr>
            <w:r>
              <w:rPr>
                <w:rFonts w:ascii="Times New Roman" w:hAnsi="Times New Roman" w:cs="Times New Roman" w:eastAsia="Times New Roman"/>
                <w:sz w:val="24"/>
                <w:szCs w:val="24"/>
              </w:rPr>
              <w:t>0</w:t>
            </w:r>
          </w:p>
        </w:tc>
        <w:tc>
          <w:tcPr>
            <w:tcW w:type="dxa" w:w="1515"/>
            <w:vAlign w:val="center"/>
          </w:tcPr>
          <w:p>
            <w:pPr>
              <w:spacing w:line="252" w:lineRule="auto" w:after="20"/>
              <w:jc w:val="center"/>
            </w:pPr>
            <w:r>
              <w:rPr>
                <w:rFonts w:ascii="Times New Roman" w:hAnsi="Times New Roman" w:cs="Times New Roman" w:eastAsia="Times New Roman"/>
                <w:sz w:val="24"/>
                <w:szCs w:val="24"/>
              </w:rPr>
              <w:t>0</w:t>
            </w:r>
          </w:p>
        </w:tc>
        <w:tc>
          <w:tcPr>
            <w:tcW w:type="dxa" w:w="1515"/>
            <w:vAlign w:val="center"/>
          </w:tcPr>
          <w:p>
            <w:pPr>
              <w:spacing w:line="252" w:lineRule="auto" w:after="20"/>
              <w:jc w:val="center"/>
            </w:pPr>
            <w:r>
              <w:rPr>
                <w:rFonts w:ascii="Times New Roman" w:hAnsi="Times New Roman" w:cs="Times New Roman" w:eastAsia="Times New Roman"/>
                <w:sz w:val="24"/>
                <w:szCs w:val="24"/>
              </w:rPr>
              <w:t>+20</w:t>
            </w:r>
          </w:p>
        </w:tc>
        <w:tc>
          <w:tcPr>
            <w:tcW w:type="dxa" w:w="1515"/>
            <w:vAlign w:val="center"/>
          </w:tcPr>
          <w:p>
            <w:pPr>
              <w:spacing w:line="252" w:lineRule="auto" w:after="20"/>
              <w:jc w:val="center"/>
            </w:pPr>
            <w:r>
              <w:rPr>
                <w:rFonts w:ascii="Times New Roman" w:hAnsi="Times New Roman" w:cs="Times New Roman" w:eastAsia="Times New Roman"/>
                <w:sz w:val="24"/>
                <w:szCs w:val="24"/>
              </w:rPr>
              <w:t>+20</w:t>
            </w:r>
          </w:p>
        </w:tc>
      </w:tr>
      <w:tr>
        <w:trPr>
          <w:cantSplit/>
        </w:trPr>
        <w:tc>
          <w:tcPr>
            <w:tcW w:type="dxa" w:w="3408"/>
            <w:vAlign w:val="center"/>
          </w:tcPr>
          <w:p>
            <w:pPr>
              <w:spacing w:line="252" w:lineRule="auto" w:after="20"/>
            </w:pPr>
            <w:r>
              <w:rPr>
                <w:rFonts w:ascii="Times New Roman" w:hAnsi="Times New Roman" w:cs="Times New Roman" w:eastAsia="Times New Roman"/>
                <w:sz w:val="24"/>
                <w:szCs w:val="24"/>
              </w:rPr>
              <w:t>Дивиденд</w:t>
            </w:r>
          </w:p>
        </w:tc>
        <w:tc>
          <w:tcPr>
            <w:tcW w:type="dxa" w:w="1515"/>
            <w:vAlign w:val="center"/>
          </w:tcPr>
          <w:p>
            <w:pPr>
              <w:spacing w:line="252" w:lineRule="auto" w:after="20"/>
              <w:jc w:val="center"/>
            </w:pPr>
            <w:r>
              <w:rPr>
                <w:rFonts w:ascii="Times New Roman" w:hAnsi="Times New Roman" w:cs="Times New Roman" w:eastAsia="Times New Roman"/>
                <w:sz w:val="24"/>
                <w:szCs w:val="24"/>
              </w:rPr>
              <w:t>0</w:t>
            </w:r>
          </w:p>
        </w:tc>
        <w:tc>
          <w:tcPr>
            <w:tcW w:type="dxa" w:w="1515"/>
            <w:vAlign w:val="center"/>
          </w:tcPr>
          <w:p>
            <w:pPr>
              <w:spacing w:line="252" w:lineRule="auto" w:after="20"/>
              <w:jc w:val="center"/>
            </w:pPr>
            <w:r>
              <w:rPr>
                <w:rFonts w:ascii="Times New Roman" w:hAnsi="Times New Roman" w:cs="Times New Roman" w:eastAsia="Times New Roman"/>
                <w:sz w:val="24"/>
                <w:szCs w:val="24"/>
              </w:rPr>
              <w:t>−120</w:t>
            </w:r>
          </w:p>
        </w:tc>
        <w:tc>
          <w:tcPr>
            <w:tcW w:type="dxa" w:w="1515"/>
            <w:vAlign w:val="center"/>
          </w:tcPr>
          <w:p>
            <w:pPr>
              <w:spacing w:line="252" w:lineRule="auto" w:after="20"/>
              <w:jc w:val="center"/>
            </w:pPr>
            <w:r>
              <w:rPr>
                <w:rFonts w:ascii="Times New Roman" w:hAnsi="Times New Roman" w:cs="Times New Roman" w:eastAsia="Times New Roman"/>
                <w:sz w:val="24"/>
                <w:szCs w:val="24"/>
              </w:rPr>
              <w:t>0</w:t>
            </w:r>
          </w:p>
        </w:tc>
        <w:tc>
          <w:tcPr>
            <w:tcW w:type="dxa" w:w="1515"/>
            <w:vAlign w:val="center"/>
          </w:tcPr>
          <w:p>
            <w:pPr>
              <w:spacing w:line="252" w:lineRule="auto" w:after="20"/>
              <w:jc w:val="center"/>
            </w:pPr>
            <w:r>
              <w:rPr>
                <w:rFonts w:ascii="Times New Roman" w:hAnsi="Times New Roman" w:cs="Times New Roman" w:eastAsia="Times New Roman"/>
                <w:sz w:val="24"/>
                <w:szCs w:val="24"/>
              </w:rPr>
              <w:t>−120</w:t>
            </w:r>
          </w:p>
        </w:tc>
      </w:tr>
      <w:tr>
        <w:trPr>
          <w:cantSplit/>
        </w:trPr>
        <w:tc>
          <w:tcPr>
            <w:tcW w:type="dxa" w:w="3408"/>
            <w:vAlign w:val="center"/>
          </w:tcPr>
          <w:p>
            <w:pPr>
              <w:spacing w:line="252" w:lineRule="auto" w:after="20"/>
            </w:pPr>
            <w:r>
              <w:rPr>
                <w:rFonts w:ascii="Times New Roman" w:hAnsi="Times New Roman" w:cs="Times New Roman" w:eastAsia="Times New Roman"/>
                <w:sz w:val="24"/>
                <w:szCs w:val="24"/>
              </w:rPr>
              <w:t>Жыл соңындағы қалдық</w:t>
            </w:r>
          </w:p>
        </w:tc>
        <w:tc>
          <w:tcPr>
            <w:tcW w:type="dxa" w:w="1515"/>
            <w:vAlign w:val="center"/>
          </w:tcPr>
          <w:p>
            <w:pPr>
              <w:spacing w:line="252" w:lineRule="auto" w:after="20"/>
              <w:jc w:val="center"/>
            </w:pPr>
            <w:r>
              <w:rPr>
                <w:rFonts w:ascii="Times New Roman" w:hAnsi="Times New Roman" w:cs="Times New Roman" w:eastAsia="Times New Roman"/>
                <w:sz w:val="24"/>
                <w:szCs w:val="24"/>
              </w:rPr>
              <w:t>800</w:t>
            </w:r>
          </w:p>
        </w:tc>
        <w:tc>
          <w:tcPr>
            <w:tcW w:type="dxa" w:w="1515"/>
            <w:vAlign w:val="center"/>
          </w:tcPr>
          <w:p>
            <w:pPr>
              <w:spacing w:line="252" w:lineRule="auto" w:after="20"/>
              <w:jc w:val="center"/>
            </w:pPr>
            <w:r>
              <w:rPr>
                <w:rFonts w:ascii="Times New Roman" w:hAnsi="Times New Roman" w:cs="Times New Roman" w:eastAsia="Times New Roman"/>
                <w:sz w:val="24"/>
                <w:szCs w:val="24"/>
              </w:rPr>
              <w:t>530</w:t>
            </w:r>
          </w:p>
        </w:tc>
        <w:tc>
          <w:tcPr>
            <w:tcW w:type="dxa" w:w="1515"/>
            <w:vAlign w:val="center"/>
          </w:tcPr>
          <w:p>
            <w:pPr>
              <w:spacing w:line="252" w:lineRule="auto" w:after="20"/>
              <w:jc w:val="center"/>
            </w:pPr>
            <w:r>
              <w:rPr>
                <w:rFonts w:ascii="Times New Roman" w:hAnsi="Times New Roman" w:cs="Times New Roman" w:eastAsia="Times New Roman"/>
                <w:sz w:val="24"/>
                <w:szCs w:val="24"/>
              </w:rPr>
              <w:t>20</w:t>
            </w:r>
          </w:p>
        </w:tc>
        <w:tc>
          <w:tcPr>
            <w:tcW w:type="dxa" w:w="1515"/>
            <w:vAlign w:val="center"/>
          </w:tcPr>
          <w:p>
            <w:pPr>
              <w:spacing w:line="252" w:lineRule="auto" w:after="20"/>
              <w:jc w:val="center"/>
            </w:pPr>
            <w:r>
              <w:rPr>
                <w:rFonts w:ascii="Times New Roman" w:hAnsi="Times New Roman" w:cs="Times New Roman" w:eastAsia="Times New Roman"/>
                <w:sz w:val="24"/>
                <w:szCs w:val="24"/>
              </w:rPr>
              <w:t>1 350</w:t>
            </w:r>
          </w:p>
        </w:tc>
      </w:tr>
    </w:tbl>
    <w:p>
      <w:pPr>
        <w:ind w:firstLine="709"/>
        <w:jc w:val="both"/>
        <w:rPr>
          <w:szCs w:val="24"/>
        </w:rPr>
      </w:pPr>
    </w:p>
    <w:p>
      <w:pPr>
        <w:ind w:firstLine="709"/>
        <w:jc w:val="both"/>
        <w:rPr>
          <w:szCs w:val="24"/>
        </w:rPr>
      </w:pPr>
      <w:r>
        <w:rPr>
          <w:rFonts w:ascii="Times New Roman" w:hAnsi="Times New Roman" w:cs="Times New Roman" w:eastAsia="Times New Roman"/>
          <w:sz w:val="24"/>
          <w:szCs w:val="24"/>
        </w:rPr>
        <w:t>Бірінші бақылау — бағандардың тік арифметикасы. Екіншісі — соңғы капиталдың балансқа сәйкестігі. Үшіншісі — пайда 350 мен өзге жиынтық кіріс 20-ның тиісті есепке сәйкестігі. Төртіншісі — төленген дивидендтің ақша ағынымен байланысы. Дивиденд жарияланған және төленген уақыт сәйкес келмесе, капитал қозғалысы мен ақша төлемінің айырмасы түсіндіріледі.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Ретроспективті түзетуді қалай көрсету керек</w:t>
      </w:r>
    </w:p>
    <w:p>
      <w:pPr>
        <w:ind w:firstLine="709"/>
        <w:jc w:val="both"/>
        <w:rPr>
          <w:szCs w:val="24"/>
        </w:rPr>
      </w:pPr>
      <w:r>
        <w:rPr>
          <w:rFonts w:ascii="Times New Roman" w:hAnsi="Times New Roman" w:cs="Times New Roman" w:eastAsia="Times New Roman"/>
          <w:sz w:val="24"/>
          <w:szCs w:val="24"/>
        </w:rPr>
        <w:t>Егер өткен кезеңнің елеулі қатесі бастапқы бөлінбеген пайдаға әсер етсе, оны ағымдағы жылдың таза пайдасымен араластыруға болмайды. Мысалы, өткен жылғы танылмаған 50 мың теңге шығыс анықталып, салық әсері қарастырылмаса, бастапқы бөлінбеген пайда 300-ден 250-ге түзетіледі. Есепте түзетуге дейінгі қалдық, түзету және түзетілген қалдық арасындағы байланыс көрінеді.</w:t>
      </w:r>
    </w:p>
    <w:p>
      <w:pPr>
        <w:ind w:firstLine="709"/>
        <w:jc w:val="both"/>
        <w:rPr>
          <w:szCs w:val="24"/>
        </w:rPr>
      </w:pPr>
      <w:r>
        <w:rPr>
          <w:rFonts w:ascii="Times New Roman" w:hAnsi="Times New Roman" w:cs="Times New Roman" w:eastAsia="Times New Roman"/>
          <w:sz w:val="24"/>
          <w:szCs w:val="24"/>
        </w:rPr>
        <w:t>Бұл ағымдағы жылы ақша 50-ге міндетті түрде азайды деген сөз емес: шығыс пен төлем әртүрлі кезеңге түсуі мүмкін. Түзетудің мазмұны мен салыстырмалы деректерге ықпалы ескертпеде ашылады.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6 Капиталды басқару туралы ақпарат</w:t>
      </w:r>
    </w:p>
    <w:p>
      <w:pPr>
        <w:ind w:firstLine="709"/>
        <w:jc w:val="both"/>
        <w:rPr>
          <w:szCs w:val="24"/>
        </w:rPr>
      </w:pPr>
      <w:r>
        <w:rPr>
          <w:rFonts w:ascii="Times New Roman" w:hAnsi="Times New Roman" w:cs="Times New Roman" w:eastAsia="Times New Roman"/>
          <w:sz w:val="24"/>
          <w:szCs w:val="24"/>
        </w:rPr>
        <w:t>Капиталды басқару ұйымның қандай қаржыландыру құрылымын сақтауды көздейтінін және оны қалай бақылайтынын түсіндіреді. Мысалы, басшылық қарыз бен капитал арақатынасын, дивиденд саясатын және сыртқы капитал талаптарын қадағалауы мүмкін. Ұйымға қолданылатын сыртқы талаптар мен олардың орындалуы жөніндегі ақпарат маңызды. [Н7]</w:t>
      </w:r>
    </w:p>
    <w:p>
      <w:pPr>
        <w:ind w:firstLine="709"/>
        <w:jc w:val="both"/>
        <w:rPr>
          <w:szCs w:val="24"/>
        </w:rPr>
      </w:pPr>
      <w:r>
        <w:rPr>
          <w:rFonts w:ascii="Times New Roman" w:hAnsi="Times New Roman" w:cs="Times New Roman" w:eastAsia="Times New Roman"/>
          <w:sz w:val="24"/>
          <w:szCs w:val="24"/>
        </w:rPr>
        <w:t>Талдаушы капитал өсімінің сапасын бағалайды. Егер өсім тек қайта бағалаудан болса, ақша өндіру қабілеті жақсарды деп қорытынды жасауға болмайды. Егер өсім тұрақты пайдадан қалыптасса, келесі сұрақ — сол пайданы қандай ақша ағыны қолдап тұрғаны. Капитал, пайда және ақша бір-бірін тексеретін көрсеткіштер ретінде қаралады.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Дивидендті пайда туралы есептің шығысына қосу.</w:t>
      </w:r>
    </w:p>
    <w:p>
      <w:pPr>
        <w:pStyle w:val="a0"/>
        <w:tabs>
          <w:tab w:val="left" w:pos="1134"/>
        </w:tabs>
        <w:ind w:firstLine="491"/>
        <w:jc w:val="both"/>
        <w:rPr>
          <w:szCs w:val="24"/>
        </w:rPr>
      </w:pPr>
      <w:r>
        <w:rPr>
          <w:rFonts w:ascii="Times New Roman" w:hAnsi="Times New Roman" w:cs="Times New Roman" w:eastAsia="Times New Roman"/>
          <w:sz w:val="24"/>
          <w:szCs w:val="24"/>
        </w:rPr>
        <w:t>Қайта бағалау резервін ақша резервімен шатастыру.</w:t>
      </w:r>
    </w:p>
    <w:p>
      <w:pPr>
        <w:pStyle w:val="a0"/>
        <w:tabs>
          <w:tab w:val="left" w:pos="1134"/>
        </w:tabs>
        <w:ind w:firstLine="491"/>
        <w:jc w:val="both"/>
        <w:rPr>
          <w:szCs w:val="24"/>
        </w:rPr>
      </w:pPr>
      <w:r>
        <w:rPr>
          <w:rFonts w:ascii="Times New Roman" w:hAnsi="Times New Roman" w:cs="Times New Roman" w:eastAsia="Times New Roman"/>
          <w:sz w:val="24"/>
          <w:szCs w:val="24"/>
        </w:rPr>
        <w:t>Капитал ішіндегі ауыстыруды жалпы өсім деп санау.</w:t>
      </w:r>
    </w:p>
    <w:p>
      <w:pPr>
        <w:pStyle w:val="a0"/>
        <w:tabs>
          <w:tab w:val="left" w:pos="1134"/>
        </w:tabs>
        <w:ind w:firstLine="491"/>
        <w:jc w:val="both"/>
        <w:rPr>
          <w:szCs w:val="24"/>
        </w:rPr>
      </w:pPr>
      <w:r>
        <w:rPr>
          <w:rFonts w:ascii="Times New Roman" w:hAnsi="Times New Roman" w:cs="Times New Roman" w:eastAsia="Times New Roman"/>
          <w:sz w:val="24"/>
          <w:szCs w:val="24"/>
        </w:rPr>
        <w:t>Өткен кезең түзетуін ағымдағы пайдамен араластыру.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Бөлінбеген пайда неліктен ақша қалдығына тең емес?</w:t>
      </w:r>
    </w:p>
    <w:p>
      <w:pPr>
        <w:spacing w:after="80"/>
        <w:ind w:left="170" w:firstLine="709"/>
        <w:jc w:val="both"/>
        <w:rPr>
          <w:szCs w:val="24"/>
        </w:rPr>
      </w:pPr>
      <w:r>
        <w:rPr>
          <w:rFonts w:ascii="Times New Roman" w:hAnsi="Times New Roman" w:cs="Times New Roman" w:eastAsia="Times New Roman"/>
          <w:sz w:val="24"/>
          <w:szCs w:val="24"/>
        </w:rPr>
        <w:t>2. Меншік иесінің салымы пайдаға қалай әсер етеді?</w:t>
      </w:r>
    </w:p>
    <w:p>
      <w:pPr>
        <w:spacing w:after="80"/>
        <w:ind w:left="170" w:firstLine="709"/>
        <w:jc w:val="both"/>
        <w:rPr>
          <w:szCs w:val="24"/>
        </w:rPr>
      </w:pPr>
      <w:r>
        <w:rPr>
          <w:rFonts w:ascii="Times New Roman" w:hAnsi="Times New Roman" w:cs="Times New Roman" w:eastAsia="Times New Roman"/>
          <w:sz w:val="24"/>
          <w:szCs w:val="24"/>
        </w:rPr>
        <w:t>3. Капитал қозғалысын қай есептермен тексереміз?</w:t>
      </w:r>
    </w:p>
    <w:p>
      <w:pPr>
        <w:spacing w:after="80"/>
        <w:ind w:left="170" w:firstLine="709"/>
        <w:jc w:val="both"/>
        <w:rPr>
          <w:szCs w:val="24"/>
        </w:rPr>
      </w:pPr>
      <w:r>
        <w:rPr>
          <w:rFonts w:ascii="Times New Roman" w:hAnsi="Times New Roman" w:cs="Times New Roman" w:eastAsia="Times New Roman"/>
          <w:sz w:val="24"/>
          <w:szCs w:val="24"/>
        </w:rPr>
        <w:t>4. Қайта бағалау арқылы өскен капиталды қалай түсіндіреміз?</w:t>
      </w:r>
    </w:p>
    <w:p>
      <w:pPr>
        <w:spacing w:after="80"/>
        <w:ind w:left="170" w:firstLine="709"/>
        <w:jc w:val="both"/>
        <w:rPr>
          <w:szCs w:val="24"/>
        </w:rPr>
      </w:pPr>
      <w:r>
        <w:rPr>
          <w:rFonts w:ascii="Times New Roman" w:hAnsi="Times New Roman" w:cs="Times New Roman" w:eastAsia="Times New Roman"/>
          <w:sz w:val="24"/>
          <w:szCs w:val="24"/>
        </w:rPr>
        <w:t>5. Дивиденд жариялау мен төлеудің мерзімі неге маңызды?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ind w:firstLine="709"/>
        <w:jc w:val="both"/>
        <w:rPr>
          <w:szCs w:val="24"/>
        </w:rPr>
      </w:pPr>
      <w:r>
        <w:rPr>
          <w:rFonts w:ascii="Times New Roman" w:hAnsi="Times New Roman" w:cs="Times New Roman" w:eastAsia="Times New Roman"/>
          <w:sz w:val="24"/>
          <w:szCs w:val="24"/>
        </w:rPr>
        <w:t>Бастапқы капитал 900, салым 200, таза залал 80, өзге жиынтық кіріс 10, дивиденд 30. Соңғы капитал 1 000 мың теңге. Жиынтық нәтиже −70, ал меншік иелерімен таза операция +170 болады.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60"/>
        <w:ind w:firstLine="709"/>
        <w:jc w:val="both"/>
        <w:rPr>
          <w:szCs w:val="24"/>
        </w:rPr>
      </w:pPr>
      <w:r>
        <w:rPr>
          <w:rFonts w:ascii="Times New Roman" w:hAnsi="Times New Roman" w:cs="Times New Roman" w:eastAsia="Times New Roman"/>
          <w:sz w:val="24"/>
          <w:szCs w:val="24"/>
        </w:rPr>
        <w:t>[Ә2] Нурсеитов, Э.О. МСФО в Казахстане: принципы перехода и применения / Э.О. Нурсеитов, Д.Э. Нурсеитов.- Изд. 2-е, доп. и перераб.- Алматы: LEM, 2013.- 388 с.</w:t>
      </w:r>
    </w:p>
    <w:p>
      <w:pPr>
        <w:spacing w:after="60"/>
        <w:ind w:firstLine="709"/>
        <w:jc w:val="both"/>
        <w:rPr>
          <w:szCs w:val="24"/>
        </w:rPr>
      </w:pPr>
      <w:r>
        <w:rPr>
          <w:rFonts w:ascii="Times New Roman" w:hAnsi="Times New Roman" w:cs="Times New Roman" w:eastAsia="Times New Roman"/>
          <w:sz w:val="24"/>
          <w:szCs w:val="24"/>
        </w:rPr>
        <w:t>[Ә3] Международные стандарты финансовой отчетности в ред. 2026 г.</w:t>
      </w:r>
    </w:p>
    <w:p>
      <w:pPr>
        <w:spacing w:after="60"/>
        <w:ind w:firstLine="709"/>
        <w:jc w:val="both"/>
        <w:rPr>
          <w:szCs w:val="24"/>
        </w:rPr>
      </w:pPr>
      <w:r>
        <w:rPr>
          <w:rFonts w:ascii="Times New Roman" w:hAnsi="Times New Roman" w:cs="Times New Roman" w:eastAsia="Times New Roman"/>
          <w:sz w:val="24"/>
          <w:szCs w:val="24"/>
        </w:rPr>
        <w:t xml:space="preserve">[Ә5] Селезнева, Н. Н. Анализ финансовой отчетности организации : учебное пособие для студентов вузов по специальности «Бухгалтерский учет, анализ и аудит», слушателей курсов по подготовке и переподготовке бухгалтеров и аудиторов / Н. Н. Селезнева, А. Ф. Ионова. — 3-е изд. — Москва : ЮНИТИ-ДАНА, 2023. — 583 c. — ISBN 978-5-238-01178-3.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Ресми және бастапқы дереккөздер</w:t>
      </w:r>
    </w:p>
    <w:p>
      <w:pPr>
        <w:spacing w:after="60"/>
        <w:ind w:firstLine="709"/>
        <w:jc w:val="both"/>
        <w:rPr>
          <w:szCs w:val="24"/>
        </w:rPr>
      </w:pPr>
      <w:r>
        <w:rPr>
          <w:rFonts w:ascii="Times New Roman" w:hAnsi="Times New Roman" w:cs="Times New Roman" w:eastAsia="Times New Roman"/>
          <w:sz w:val="24"/>
          <w:szCs w:val="24"/>
        </w:rPr>
        <w:t xml:space="preserve">[Н6] IFRS Foundation. IAS 1 Presentation of Financial Statements. </w:t>
      </w:r>
      <w:hyperlink r:id="rId15">
        <w:r>
          <w:rPr>
            <w:rFonts w:ascii="Times New Roman" w:hAnsi="Times New Roman" w:cs="Times New Roman" w:eastAsia="Times New Roman"/>
            <w:u w:val="single"/>
            <w:color w:val="000000"/>
            <w:sz w:val="24"/>
            <w:szCs w:val="24"/>
          </w:rPr>
          <w:t>Дереккөзді ашу</w:t>
        </w:r>
      </w:hyperlink>
    </w:p>
    <w:p>
      <w:pPr>
        <w:spacing w:after="60"/>
        <w:ind w:firstLine="709"/>
        <w:jc w:val="both"/>
        <w:rPr>
          <w:szCs w:val="24"/>
        </w:rPr>
      </w:pPr>
      <w:r>
        <w:rPr>
          <w:rFonts w:ascii="Times New Roman" w:hAnsi="Times New Roman" w:cs="Times New Roman" w:eastAsia="Times New Roman"/>
          <w:sz w:val="24"/>
          <w:szCs w:val="24"/>
        </w:rPr>
        <w:t xml:space="preserve">[Н7] IFRS Foundation. IFRS 18 Presentation and Disclosure in Financial Statements. </w:t>
      </w:r>
      <w:hyperlink r:id="rId16">
        <w:r>
          <w:rPr>
            <w:rFonts w:ascii="Times New Roman" w:hAnsi="Times New Roman" w:cs="Times New Roman" w:eastAsia="Times New Roman"/>
            <w:u w:val="single"/>
            <w:color w:val="000000"/>
            <w:sz w:val="24"/>
            <w:szCs w:val="24"/>
          </w:rPr>
          <w:t>Дереккөзді ашу</w:t>
        </w:r>
      </w:hyperlink>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42664.html" TargetMode="External"/><Relationship Id="rId15" Type="http://schemas.openxmlformats.org/officeDocument/2006/relationships/hyperlink" Target="https://www.ifrs.org/issued-standards/list-of-standards/ias-1-presentation-of-financial-statements/" TargetMode="External"/><Relationship Id="rId16" Type="http://schemas.openxmlformats.org/officeDocument/2006/relationships/hyperlink" Target="https://www.ifrs.org/issued-standards/list-of-standards/ifrs-18-presentation-and-disclosure-in-financial-stat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Меншікті капиталдағы өзгерістер және капитал туралы ақпаратты ашып көрсету</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