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7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Ақша қаражатының қозғалысы туралы есеп</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Ақша ағындарын қызмет түрлері бойынша жіктеу, операциялық ағынды тікелей және жанама әдіспен есептеу және соңғы ақша қалдығын баланспен салыстыру.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Ақша ағыны пайдадан несімен ерекшеленеді; Қызметтің үш түрі; 2027 жылғы талапты ескеру; Тікелей әдіс бойынша түсіндірілген есеп; Жанама әдіспен сол нәтижеге келу; Соңғы қалдық және қарыз қозғалысы.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Ақша ағыны пайдадан несімен ерекшеленеді</w:t>
      </w:r>
    </w:p>
    <w:p>
      <w:pPr>
        <w:ind w:firstLine="709"/>
        <w:jc w:val="both"/>
        <w:rPr>
          <w:szCs w:val="24"/>
        </w:rPr>
      </w:pPr>
      <w:r>
        <w:rPr>
          <w:rFonts w:ascii="Times New Roman" w:hAnsi="Times New Roman" w:cs="Times New Roman" w:eastAsia="Times New Roman"/>
          <w:sz w:val="24"/>
          <w:szCs w:val="24"/>
        </w:rPr>
        <w:t>Кіріс тауар берілгенде танылып, ақша кейін алынуы мүмкін. Амортизация пайдаға әсер етеді, бірақ оны есептеген кезде ақша төленбейді. Станок сатып алуға төленген ірі сома бірден толық шығысқа жатпауы мүмкін. Сондықтан пайда туралы есеп ұйымның ақша қажеттілігін толық алмастырмайды.</w:t>
      </w:r>
    </w:p>
    <w:p>
      <w:pPr>
        <w:ind w:firstLine="709"/>
        <w:jc w:val="both"/>
        <w:rPr>
          <w:szCs w:val="24"/>
        </w:rPr>
      </w:pPr>
      <w:r>
        <w:rPr>
          <w:rFonts w:ascii="Times New Roman" w:hAnsi="Times New Roman" w:cs="Times New Roman" w:eastAsia="Times New Roman"/>
          <w:sz w:val="24"/>
          <w:szCs w:val="24"/>
        </w:rPr>
        <w:t>Ақшаға кассадағы ақша мен талап етілгенде алынатын депозиттер кіреді. Ақша баламалары — белгілі ақша сомасына оңай айналатын, құн өзгеру тәуекелі елеусіз, қысқа мерзімді жоғары өтімді инвестициялар. Жай ғана «тез сатуға болады» деген белгі жеткіліксіз: нарықтық бағасы елеулі өзгеретін акция әдетте ақша баламасы емес. [Н9]</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Қызметтің үш түрі</w:t>
      </w:r>
    </w:p>
    <w:p>
      <w:pPr>
        <w:ind w:firstLine="709"/>
        <w:jc w:val="both"/>
        <w:rPr>
          <w:szCs w:val="24"/>
        </w:rPr>
      </w:pPr>
      <w:r>
        <w:rPr>
          <w:rFonts w:ascii="Times New Roman" w:hAnsi="Times New Roman" w:cs="Times New Roman" w:eastAsia="Times New Roman"/>
          <w:sz w:val="24"/>
          <w:szCs w:val="24"/>
        </w:rPr>
        <w:t>Операциялық қызмет негізгі кіріс әкелетін және инвестициялық не қаржылық қызметке жатпайтын әрекеттерді қамтиды. Инвестициялық қызмет ұзақ мерзімді активтерді және ақша баламасына кірмейтін инвестицияларды сатып алу мен сатуға қатысты. Қаржылық қызмет салынған капитал мен қарыздардың мөлшері және құрамын өзгертеді.</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Операция</w:t>
            </w:r>
          </w:p>
        </w:tc>
        <w:tc>
          <w:tcPr>
            <w:tcW w:type="dxa" w:w="3219"/>
            <w:vAlign w:val="center"/>
            <w:shd w:fill="E9EEF4"/>
          </w:tcPr>
          <w:p>
            <w:pPr>
              <w:spacing w:line="252" w:lineRule="auto" w:after="20"/>
            </w:pPr>
            <w:r>
              <w:rPr>
                <w:rFonts w:ascii="Times New Roman" w:hAnsi="Times New Roman" w:cs="Times New Roman" w:eastAsia="Times New Roman"/>
                <w:b/>
                <w:sz w:val="24"/>
                <w:szCs w:val="24"/>
              </w:rPr>
              <w:t>Оқу мысалындағы санат</w:t>
            </w:r>
          </w:p>
        </w:tc>
        <w:tc>
          <w:tcPr>
            <w:tcW w:type="dxa" w:w="3219"/>
            <w:vAlign w:val="center"/>
            <w:shd w:fill="E9EEF4"/>
          </w:tcPr>
          <w:p>
            <w:pPr>
              <w:spacing w:line="252" w:lineRule="auto" w:after="20"/>
            </w:pPr>
            <w:r>
              <w:rPr>
                <w:rFonts w:ascii="Times New Roman" w:hAnsi="Times New Roman" w:cs="Times New Roman" w:eastAsia="Times New Roman"/>
                <w:b/>
                <w:sz w:val="24"/>
                <w:szCs w:val="24"/>
              </w:rPr>
              <w:t>Түсіндірме</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Өнім үшін сатып алушыдан ақша алу</w:t>
            </w:r>
          </w:p>
        </w:tc>
        <w:tc>
          <w:tcPr>
            <w:tcW w:type="dxa" w:w="3219"/>
            <w:vAlign w:val="center"/>
          </w:tcPr>
          <w:p>
            <w:pPr>
              <w:spacing w:line="252" w:lineRule="auto" w:after="20"/>
            </w:pPr>
            <w:r>
              <w:rPr>
                <w:rFonts w:ascii="Times New Roman" w:hAnsi="Times New Roman" w:cs="Times New Roman" w:eastAsia="Times New Roman"/>
                <w:sz w:val="24"/>
                <w:szCs w:val="24"/>
              </w:rPr>
              <w:t>Операциялық</w:t>
            </w:r>
          </w:p>
        </w:tc>
        <w:tc>
          <w:tcPr>
            <w:tcW w:type="dxa" w:w="3219"/>
            <w:vAlign w:val="center"/>
          </w:tcPr>
          <w:p>
            <w:pPr>
              <w:spacing w:line="252" w:lineRule="auto" w:after="20"/>
            </w:pPr>
            <w:r>
              <w:rPr>
                <w:rFonts w:ascii="Times New Roman" w:hAnsi="Times New Roman" w:cs="Times New Roman" w:eastAsia="Times New Roman"/>
                <w:sz w:val="24"/>
                <w:szCs w:val="24"/>
              </w:rPr>
              <w:t>Негізгі қызмет</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Материал мен еңбекақы төлеу</w:t>
            </w:r>
          </w:p>
        </w:tc>
        <w:tc>
          <w:tcPr>
            <w:tcW w:type="dxa" w:w="3219"/>
            <w:vAlign w:val="center"/>
          </w:tcPr>
          <w:p>
            <w:pPr>
              <w:spacing w:line="252" w:lineRule="auto" w:after="20"/>
            </w:pPr>
            <w:r>
              <w:rPr>
                <w:rFonts w:ascii="Times New Roman" w:hAnsi="Times New Roman" w:cs="Times New Roman" w:eastAsia="Times New Roman"/>
                <w:sz w:val="24"/>
                <w:szCs w:val="24"/>
              </w:rPr>
              <w:t>Операциялық</w:t>
            </w:r>
          </w:p>
        </w:tc>
        <w:tc>
          <w:tcPr>
            <w:tcW w:type="dxa" w:w="3219"/>
            <w:vAlign w:val="center"/>
          </w:tcPr>
          <w:p>
            <w:pPr>
              <w:spacing w:line="252" w:lineRule="auto" w:after="20"/>
            </w:pPr>
            <w:r>
              <w:rPr>
                <w:rFonts w:ascii="Times New Roman" w:hAnsi="Times New Roman" w:cs="Times New Roman" w:eastAsia="Times New Roman"/>
                <w:sz w:val="24"/>
                <w:szCs w:val="24"/>
              </w:rPr>
              <w:t>Қызмет шығынының төлемі</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Өндірістік жабдық сатып алу</w:t>
            </w:r>
          </w:p>
        </w:tc>
        <w:tc>
          <w:tcPr>
            <w:tcW w:type="dxa" w:w="3219"/>
            <w:vAlign w:val="center"/>
          </w:tcPr>
          <w:p>
            <w:pPr>
              <w:spacing w:line="252" w:lineRule="auto" w:after="20"/>
            </w:pPr>
            <w:r>
              <w:rPr>
                <w:rFonts w:ascii="Times New Roman" w:hAnsi="Times New Roman" w:cs="Times New Roman" w:eastAsia="Times New Roman"/>
                <w:sz w:val="24"/>
                <w:szCs w:val="24"/>
              </w:rPr>
              <w:t>Инвестициялық</w:t>
            </w:r>
          </w:p>
        </w:tc>
        <w:tc>
          <w:tcPr>
            <w:tcW w:type="dxa" w:w="3219"/>
            <w:vAlign w:val="center"/>
          </w:tcPr>
          <w:p>
            <w:pPr>
              <w:spacing w:line="252" w:lineRule="auto" w:after="20"/>
            </w:pPr>
            <w:r>
              <w:rPr>
                <w:rFonts w:ascii="Times New Roman" w:hAnsi="Times New Roman" w:cs="Times New Roman" w:eastAsia="Times New Roman"/>
                <w:sz w:val="24"/>
                <w:szCs w:val="24"/>
              </w:rPr>
              <w:t>Ұзақ мерзімді актив</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Банктен несие алу</w:t>
            </w:r>
          </w:p>
        </w:tc>
        <w:tc>
          <w:tcPr>
            <w:tcW w:type="dxa" w:w="3219"/>
            <w:vAlign w:val="center"/>
          </w:tcPr>
          <w:p>
            <w:pPr>
              <w:spacing w:line="252" w:lineRule="auto" w:after="20"/>
            </w:pPr>
            <w:r>
              <w:rPr>
                <w:rFonts w:ascii="Times New Roman" w:hAnsi="Times New Roman" w:cs="Times New Roman" w:eastAsia="Times New Roman"/>
                <w:sz w:val="24"/>
                <w:szCs w:val="24"/>
              </w:rPr>
              <w:t>Қаржылық</w:t>
            </w:r>
          </w:p>
        </w:tc>
        <w:tc>
          <w:tcPr>
            <w:tcW w:type="dxa" w:w="3219"/>
            <w:vAlign w:val="center"/>
          </w:tcPr>
          <w:p>
            <w:pPr>
              <w:spacing w:line="252" w:lineRule="auto" w:after="20"/>
            </w:pPr>
            <w:r>
              <w:rPr>
                <w:rFonts w:ascii="Times New Roman" w:hAnsi="Times New Roman" w:cs="Times New Roman" w:eastAsia="Times New Roman"/>
                <w:sz w:val="24"/>
                <w:szCs w:val="24"/>
              </w:rPr>
              <w:t>Қарыз көзі өседі</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Несие негізгі сомасын өтеу</w:t>
            </w:r>
          </w:p>
        </w:tc>
        <w:tc>
          <w:tcPr>
            <w:tcW w:type="dxa" w:w="3219"/>
            <w:vAlign w:val="center"/>
          </w:tcPr>
          <w:p>
            <w:pPr>
              <w:spacing w:line="252" w:lineRule="auto" w:after="20"/>
            </w:pPr>
            <w:r>
              <w:rPr>
                <w:rFonts w:ascii="Times New Roman" w:hAnsi="Times New Roman" w:cs="Times New Roman" w:eastAsia="Times New Roman"/>
                <w:sz w:val="24"/>
                <w:szCs w:val="24"/>
              </w:rPr>
              <w:t>Қаржылық</w:t>
            </w:r>
          </w:p>
        </w:tc>
        <w:tc>
          <w:tcPr>
            <w:tcW w:type="dxa" w:w="3219"/>
            <w:vAlign w:val="center"/>
          </w:tcPr>
          <w:p>
            <w:pPr>
              <w:spacing w:line="252" w:lineRule="auto" w:after="20"/>
            </w:pPr>
            <w:r>
              <w:rPr>
                <w:rFonts w:ascii="Times New Roman" w:hAnsi="Times New Roman" w:cs="Times New Roman" w:eastAsia="Times New Roman"/>
                <w:sz w:val="24"/>
                <w:szCs w:val="24"/>
              </w:rPr>
              <w:t>Қарыз көзі кемиді</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Ақшалай емес операциялар негізгі ақша ағынына енгізілмейді. Мысалы, жабдықты несиеге немесе жалдау міндеттемесін тану арқылы алу ақшаны бірден қозғалтпауы мүмкін. Соған қарамастан, мұндай маңызды операция тиісті түрде ашып көрсетіледі.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2027 жылғы талапты ескеру</w:t>
      </w:r>
    </w:p>
    <w:p>
      <w:pPr>
        <w:ind w:firstLine="709"/>
        <w:jc w:val="both"/>
        <w:rPr>
          <w:szCs w:val="24"/>
        </w:rPr>
      </w:pPr>
      <w:r>
        <w:rPr>
          <w:rFonts w:ascii="Times New Roman" w:hAnsi="Times New Roman" w:cs="Times New Roman" w:eastAsia="Times New Roman"/>
          <w:sz w:val="24"/>
          <w:szCs w:val="24"/>
        </w:rPr>
        <w:t>IFRS 18-ге байланысты IAS 7 түзетулері жанама әдістің бастапқы көрсеткіші ретінде операциялық пайданы қолдануды талап етеді. Пайыз бен дивиденд ағындарын жіктеуге де өзгерістер енгізілген. Сондықтан ескі оқу үлгісіндегі «әрқашан таза пайдадан бастаңыз» деген нұсқаулықты 2027 жылғы есепке өзгеріссіз көшіруге болмайды. [Н9]</w:t>
      </w:r>
    </w:p>
    <w:p>
      <w:pPr>
        <w:ind w:firstLine="709"/>
        <w:jc w:val="both"/>
        <w:rPr>
          <w:szCs w:val="24"/>
        </w:rPr>
      </w:pPr>
      <w:r>
        <w:rPr>
          <w:rFonts w:ascii="Times New Roman" w:hAnsi="Times New Roman" w:cs="Times New Roman" w:eastAsia="Times New Roman"/>
          <w:sz w:val="24"/>
          <w:szCs w:val="24"/>
        </w:rPr>
        <w:t>Төмендегі мысал арнайы инвестициялық немесе клиенттерді қаржыландыру негізгі қызметі жоқ өндірістік ұйымға арналған. Онда алынған дивиденд инвестициялық, төленген пайыз бен дивиденд қаржылық қызметте көрсетіледі. Арнайы негізгі қызметі бар ұйымдар үшін стандарттағы ерекше талаптар бөлек тексеріледі. Пайда туралы есептің санаты мен ақша ағынының санатын тек атауы ұқсас болғандықтан теңестіруге болмайды.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Тікелей әдіс бойынша түсіндірілген есеп</w:t>
      </w:r>
    </w:p>
    <w:p>
      <w:pPr>
        <w:ind w:firstLine="709"/>
        <w:jc w:val="both"/>
        <w:rPr>
          <w:szCs w:val="24"/>
        </w:rPr>
      </w:pPr>
      <w:r>
        <w:rPr>
          <w:rFonts w:ascii="Times New Roman" w:hAnsi="Times New Roman" w:cs="Times New Roman" w:eastAsia="Times New Roman"/>
          <w:sz w:val="24"/>
          <w:szCs w:val="24"/>
        </w:rPr>
        <w:t>«АрнаӨндіріс» кірісі 3 000, дебиторлық берешегі 300-ден 400-ге өсті. Қосымша аванстар мен өзге өзгерістер болмаса, сатып алушылардан ақша түсімі 2 900 болады: сатудың 100 бөлігі әлі алынған жоқ. Өзіндік құн 1 800, қор 500-ден 600-ге өскендіктен сатып алу 1 900-ге тең. Жеткізуші берешегі 250-ден 300-ге өссе, жеткізушілерге төлем 1 850 болады.</w:t>
      </w:r>
    </w:p>
    <w:p>
      <w:pPr>
        <w:ind w:firstLine="709"/>
        <w:jc w:val="both"/>
        <w:rPr>
          <w:szCs w:val="24"/>
        </w:rPr>
      </w:pPr>
      <m:oMath>
        <m:r>
          <m:rPr>
            <m:nor/>
          </m:rPr>
          <w:rPr>
            <w:rFonts w:ascii="Times New Roman" w:hAnsi="Times New Roman"/>
            <w:sz w:val="22"/>
          </w:rPr>
          <m:t xml:space="preserve">Сатып алушылардан түсім = 3 000 − 100 = 2 900</m:t>
        </m:r>
      </m:oMath>
    </w:p>
    <w:p>
      <w:pPr>
        <w:ind w:firstLine="709"/>
        <w:jc w:val="both"/>
        <w:rPr>
          <w:szCs w:val="24"/>
        </w:rPr>
      </w:pPr>
      <m:oMath>
        <m:r>
          <m:rPr>
            <m:nor/>
          </m:rPr>
          <w:rPr>
            <w:rFonts w:ascii="Times New Roman" w:hAnsi="Times New Roman"/>
            <w:sz w:val="22"/>
          </w:rPr>
          <m:t xml:space="preserve">Қор сатып алу = 1 800 + 600 − 500 = 1 900</m:t>
        </m:r>
      </m:oMath>
    </w:p>
    <w:p>
      <w:pPr>
        <w:ind w:firstLine="709"/>
        <w:jc w:val="both"/>
        <w:rPr>
          <w:szCs w:val="24"/>
        </w:rPr>
      </w:pPr>
      <m:oMath>
        <m:r>
          <m:rPr>
            <m:nor/>
          </m:rPr>
          <w:rPr>
            <w:rFonts w:ascii="Times New Roman" w:hAnsi="Times New Roman"/>
            <w:sz w:val="22"/>
          </w:rPr>
          <m:t xml:space="preserve">Жеткізушілерге төлем = 1 900 − 50 = 1 850</m:t>
        </m:r>
      </m:oMath>
    </w:p>
    <w:p>
      <w:pPr>
        <w:ind w:firstLine="709"/>
        <w:jc w:val="both"/>
        <w:rPr>
          <w:szCs w:val="24"/>
        </w:rPr>
      </w:pPr>
      <w:r>
        <w:rPr>
          <w:rFonts w:ascii="Times New Roman" w:hAnsi="Times New Roman" w:cs="Times New Roman" w:eastAsia="Times New Roman"/>
          <w:sz w:val="24"/>
          <w:szCs w:val="24"/>
        </w:rPr>
        <w:t>Операциялық өзге шығыс 720 құрамында 160 амортизация бар. Өзге есептелген төлемдер өзгермесе, ақшалай төлем 560 болады. Төленген пайда салығы 70 мың теңге деп берілген. Сонда операциялық ақша ағыны 420-ға тең.</w:t>
      </w:r>
    </w:p>
    <w:p>
      <w:pPr>
        <w:ind w:firstLine="709"/>
        <w:jc w:val="both"/>
        <w:rPr>
          <w:szCs w:val="24"/>
        </w:rPr>
      </w:pPr>
      <m:oMath>
        <m:r>
          <m:rPr>
            <m:nor/>
          </m:rPr>
          <w:rPr>
            <w:rFonts w:ascii="Times New Roman" w:hAnsi="Times New Roman"/>
            <w:sz w:val="22"/>
          </w:rPr>
          <m:t xml:space="preserve">Операциялық ақша ағыны = 2 900 − 1 850 − 560 − 70 = 420</m:t>
        </m:r>
      </m:oMath>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Жанама әдіспен сол нәтижеге келу</w:t>
      </w:r>
    </w:p>
    <w:p>
      <w:pPr>
        <w:ind w:firstLine="709"/>
        <w:jc w:val="both"/>
        <w:rPr>
          <w:szCs w:val="24"/>
        </w:rPr>
      </w:pPr>
      <w:r>
        <w:rPr>
          <w:rFonts w:ascii="Times New Roman" w:hAnsi="Times New Roman" w:cs="Times New Roman" w:eastAsia="Times New Roman"/>
          <w:sz w:val="24"/>
          <w:szCs w:val="24"/>
        </w:rPr>
        <w:t>Жанама әдіс операциялық пайдадан ақша қозғалысына өтуді түсіндіреді. Ақшалай емес амортизация қайта қосылады. Дебиторлық берешек пен қор өскенде ақша айналымға байланып қалады, сондықтан олардың өсімі шегеріледі. Жеткізушілерге берешек өскенде төлемнің бір бөлігі кейінге қалады, сондықтан оның өсімі қосылады.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976"/>
        <w:gridCol w:w="5491"/>
      </w:tblGrid>
      <w:tr>
        <w:trPr>
          <w:tblHeader/>
          <w:cantSplit/>
        </w:trPr>
        <w:tc>
          <w:tcPr>
            <w:tcW w:type="dxa" w:w="3976"/>
            <w:vAlign w:val="center"/>
            <w:shd w:fill="E9EEF4"/>
          </w:tcPr>
          <w:p>
            <w:pPr>
              <w:spacing w:line="252" w:lineRule="auto" w:after="20"/>
            </w:pPr>
            <w:r>
              <w:rPr>
                <w:rFonts w:ascii="Times New Roman" w:hAnsi="Times New Roman" w:cs="Times New Roman" w:eastAsia="Times New Roman"/>
                <w:b/>
                <w:sz w:val="24"/>
                <w:szCs w:val="24"/>
              </w:rPr>
              <w:t>Көрсеткіш</w:t>
            </w:r>
          </w:p>
        </w:tc>
        <w:tc>
          <w:tcPr>
            <w:tcW w:type="dxa" w:w="5491"/>
            <w:vAlign w:val="center"/>
            <w:shd w:fill="E9EEF4"/>
          </w:tcPr>
          <w:p>
            <w:pPr>
              <w:spacing w:line="252" w:lineRule="auto" w:after="20"/>
            </w:pPr>
            <w:r>
              <w:rPr>
                <w:rFonts w:ascii="Times New Roman" w:hAnsi="Times New Roman" w:cs="Times New Roman" w:eastAsia="Times New Roman"/>
                <w:b/>
                <w:sz w:val="24"/>
                <w:szCs w:val="24"/>
              </w:rPr>
              <w:t>Мың теңге</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Операциялық пайда</w:t>
            </w:r>
          </w:p>
        </w:tc>
        <w:tc>
          <w:tcPr>
            <w:tcW w:type="dxa" w:w="5491"/>
            <w:vAlign w:val="center"/>
          </w:tcPr>
          <w:p>
            <w:pPr>
              <w:spacing w:line="252" w:lineRule="auto" w:after="20"/>
              <w:jc w:val="center"/>
            </w:pPr>
            <w:r>
              <w:rPr>
                <w:rFonts w:ascii="Times New Roman" w:hAnsi="Times New Roman" w:cs="Times New Roman" w:eastAsia="Times New Roman"/>
                <w:sz w:val="24"/>
                <w:szCs w:val="24"/>
              </w:rPr>
              <w:t>480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Амортизацияны қосу</w:t>
            </w:r>
          </w:p>
        </w:tc>
        <w:tc>
          <w:tcPr>
            <w:tcW w:type="dxa" w:w="5491"/>
            <w:vAlign w:val="center"/>
          </w:tcPr>
          <w:p>
            <w:pPr>
              <w:spacing w:line="252" w:lineRule="auto" w:after="20"/>
              <w:jc w:val="center"/>
            </w:pPr>
            <w:r>
              <w:rPr>
                <w:rFonts w:ascii="Times New Roman" w:hAnsi="Times New Roman" w:cs="Times New Roman" w:eastAsia="Times New Roman"/>
                <w:sz w:val="24"/>
                <w:szCs w:val="24"/>
              </w:rPr>
              <w:t>+160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Дебиторлық берешек өсімі</w:t>
            </w:r>
          </w:p>
        </w:tc>
        <w:tc>
          <w:tcPr>
            <w:tcW w:type="dxa" w:w="5491"/>
            <w:vAlign w:val="center"/>
          </w:tcPr>
          <w:p>
            <w:pPr>
              <w:spacing w:line="252" w:lineRule="auto" w:after="20"/>
              <w:jc w:val="center"/>
            </w:pPr>
            <w:r>
              <w:rPr>
                <w:rFonts w:ascii="Times New Roman" w:hAnsi="Times New Roman" w:cs="Times New Roman" w:eastAsia="Times New Roman"/>
                <w:sz w:val="24"/>
                <w:szCs w:val="24"/>
              </w:rPr>
              <w:t>−100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Қор өсімі</w:t>
            </w:r>
          </w:p>
        </w:tc>
        <w:tc>
          <w:tcPr>
            <w:tcW w:type="dxa" w:w="5491"/>
            <w:vAlign w:val="center"/>
          </w:tcPr>
          <w:p>
            <w:pPr>
              <w:spacing w:line="252" w:lineRule="auto" w:after="20"/>
              <w:jc w:val="center"/>
            </w:pPr>
            <w:r>
              <w:rPr>
                <w:rFonts w:ascii="Times New Roman" w:hAnsi="Times New Roman" w:cs="Times New Roman" w:eastAsia="Times New Roman"/>
                <w:sz w:val="24"/>
                <w:szCs w:val="24"/>
              </w:rPr>
              <w:t>−100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Жеткізушілер берешегі өсімі</w:t>
            </w:r>
          </w:p>
        </w:tc>
        <w:tc>
          <w:tcPr>
            <w:tcW w:type="dxa" w:w="5491"/>
            <w:vAlign w:val="center"/>
          </w:tcPr>
          <w:p>
            <w:pPr>
              <w:spacing w:line="252" w:lineRule="auto" w:after="20"/>
              <w:jc w:val="center"/>
            </w:pPr>
            <w:r>
              <w:rPr>
                <w:rFonts w:ascii="Times New Roman" w:hAnsi="Times New Roman" w:cs="Times New Roman" w:eastAsia="Times New Roman"/>
                <w:sz w:val="24"/>
                <w:szCs w:val="24"/>
              </w:rPr>
              <w:t>+50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Төленген пайда салығы</w:t>
            </w:r>
          </w:p>
        </w:tc>
        <w:tc>
          <w:tcPr>
            <w:tcW w:type="dxa" w:w="5491"/>
            <w:vAlign w:val="center"/>
          </w:tcPr>
          <w:p>
            <w:pPr>
              <w:spacing w:line="252" w:lineRule="auto" w:after="20"/>
              <w:jc w:val="center"/>
            </w:pPr>
            <w:r>
              <w:rPr>
                <w:rFonts w:ascii="Times New Roman" w:hAnsi="Times New Roman" w:cs="Times New Roman" w:eastAsia="Times New Roman"/>
                <w:sz w:val="24"/>
                <w:szCs w:val="24"/>
              </w:rPr>
              <w:t>−70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Операциялық ақша ағыны</w:t>
            </w:r>
          </w:p>
        </w:tc>
        <w:tc>
          <w:tcPr>
            <w:tcW w:type="dxa" w:w="5491"/>
            <w:vAlign w:val="center"/>
          </w:tcPr>
          <w:p>
            <w:pPr>
              <w:spacing w:line="252" w:lineRule="auto" w:after="20"/>
              <w:jc w:val="center"/>
            </w:pPr>
            <w:r>
              <w:rPr>
                <w:rFonts w:ascii="Times New Roman" w:hAnsi="Times New Roman" w:cs="Times New Roman" w:eastAsia="Times New Roman"/>
                <w:sz w:val="24"/>
                <w:szCs w:val="24"/>
              </w:rPr>
              <w:t>420</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Бұл мысалда салық операциялық қызметке жатқызылған. Күрделірек жағдайда құнсыздану, бағамдық айырма, резервтер және өзге ақшалай емес өзгерістер де бөлек қаралады. Баланстағы кез келген айырманы талдамай ақша ағынына көшіру қате: қалдыққа ақшалай емес операциялар әсер етуі мүмкін.</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Соңғы қалдық және қарыз қозғалысы</w:t>
      </w:r>
    </w:p>
    <w:p>
      <w:pPr>
        <w:ind w:firstLine="709"/>
        <w:jc w:val="both"/>
        <w:rPr>
          <w:szCs w:val="24"/>
        </w:rPr>
      </w:pPr>
      <w:r>
        <w:rPr>
          <w:rFonts w:ascii="Times New Roman" w:hAnsi="Times New Roman" w:cs="Times New Roman" w:eastAsia="Times New Roman"/>
          <w:sz w:val="24"/>
          <w:szCs w:val="24"/>
        </w:rPr>
        <w:t>Жабдыққа төлем 400, алынған дивиденд 20 болса, инвестициялық ағын −380. Несие алу 300, негізгі соманы өтеу 100, пайыз төлеу 80, меншік иелеріне дивиденд 120 болса, қаржылық ағын 0. Ақша өсімі 40: 420 − 380 + 0. Бастапқы 200-ге қосқанда соңғы қалдық 240 мың теңге болады.</w:t>
      </w:r>
    </w:p>
    <w:p>
      <w:pPr>
        <w:ind w:firstLine="709"/>
        <w:jc w:val="both"/>
        <w:rPr>
          <w:szCs w:val="24"/>
        </w:rPr>
      </w:pPr>
      <w:r>
        <w:rPr>
          <w:rFonts w:ascii="Times New Roman" w:hAnsi="Times New Roman" w:cs="Times New Roman" w:eastAsia="Times New Roman"/>
          <w:sz w:val="24"/>
          <w:szCs w:val="24"/>
        </w:rPr>
        <w:t>Қарыздардың бастапқы сомасы 650, алынған несие 300, өтелгені 100 болса, ақшалай емес өзгерістер жоқ жағдайда соңғы қарыз 850 болады. Бұл соманың 200-і қысқа, 650-і ұзақ мерзімді бөлікте көрсетілген. Қарыз қозғалысын баланспен салыстыру жіктеу қатесін анықтауға көмектеседі.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Амортизацияны нақты төлем деп санау.</w:t>
      </w:r>
    </w:p>
    <w:p>
      <w:pPr>
        <w:pStyle w:val="a0"/>
        <w:tabs>
          <w:tab w:val="left" w:pos="1134"/>
        </w:tabs>
        <w:ind w:firstLine="491"/>
        <w:jc w:val="both"/>
        <w:rPr>
          <w:szCs w:val="24"/>
        </w:rPr>
      </w:pPr>
      <w:r>
        <w:rPr>
          <w:rFonts w:ascii="Times New Roman" w:hAnsi="Times New Roman" w:cs="Times New Roman" w:eastAsia="Times New Roman"/>
          <w:sz w:val="24"/>
          <w:szCs w:val="24"/>
        </w:rPr>
        <w:t>Дебиторлық берешек өсімін ақша ағынына қосу.</w:t>
      </w:r>
    </w:p>
    <w:p>
      <w:pPr>
        <w:pStyle w:val="a0"/>
        <w:tabs>
          <w:tab w:val="left" w:pos="1134"/>
        </w:tabs>
        <w:ind w:firstLine="491"/>
        <w:jc w:val="both"/>
        <w:rPr>
          <w:szCs w:val="24"/>
        </w:rPr>
      </w:pPr>
      <w:r>
        <w:rPr>
          <w:rFonts w:ascii="Times New Roman" w:hAnsi="Times New Roman" w:cs="Times New Roman" w:eastAsia="Times New Roman"/>
          <w:sz w:val="24"/>
          <w:szCs w:val="24"/>
        </w:rPr>
        <w:t>Ақшалай емес актив алу операциясын ақша төлеміне енгізу.</w:t>
      </w:r>
    </w:p>
    <w:p>
      <w:pPr>
        <w:pStyle w:val="a0"/>
        <w:tabs>
          <w:tab w:val="left" w:pos="1134"/>
        </w:tabs>
        <w:ind w:firstLine="491"/>
        <w:jc w:val="both"/>
        <w:rPr>
          <w:szCs w:val="24"/>
        </w:rPr>
      </w:pPr>
      <w:r>
        <w:rPr>
          <w:rFonts w:ascii="Times New Roman" w:hAnsi="Times New Roman" w:cs="Times New Roman" w:eastAsia="Times New Roman"/>
          <w:sz w:val="24"/>
          <w:szCs w:val="24"/>
        </w:rPr>
        <w:t>2027 жылғы жанама әдісті ескі үлгімен шатастыру.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Ақша баламасының қандай белгілері бар?</w:t>
      </w:r>
    </w:p>
    <w:p>
      <w:pPr>
        <w:spacing w:after="80"/>
        <w:ind w:left="170" w:firstLine="709"/>
        <w:jc w:val="both"/>
        <w:rPr>
          <w:szCs w:val="24"/>
        </w:rPr>
      </w:pPr>
      <w:r>
        <w:rPr>
          <w:rFonts w:ascii="Times New Roman" w:hAnsi="Times New Roman" w:cs="Times New Roman" w:eastAsia="Times New Roman"/>
          <w:sz w:val="24"/>
          <w:szCs w:val="24"/>
        </w:rPr>
        <w:t>2. Неліктен екі әдіс те бір операциялық ақша ағынын беруі тиіс?</w:t>
      </w:r>
    </w:p>
    <w:p>
      <w:pPr>
        <w:spacing w:after="80"/>
        <w:ind w:left="170" w:firstLine="709"/>
        <w:jc w:val="both"/>
        <w:rPr>
          <w:szCs w:val="24"/>
        </w:rPr>
      </w:pPr>
      <w:r>
        <w:rPr>
          <w:rFonts w:ascii="Times New Roman" w:hAnsi="Times New Roman" w:cs="Times New Roman" w:eastAsia="Times New Roman"/>
          <w:sz w:val="24"/>
          <w:szCs w:val="24"/>
        </w:rPr>
        <w:t>3. Қор өскенде операциялық ақша неге азаюы мүмкін?</w:t>
      </w:r>
    </w:p>
    <w:p>
      <w:pPr>
        <w:spacing w:after="80"/>
        <w:ind w:left="170" w:firstLine="709"/>
        <w:jc w:val="both"/>
        <w:rPr>
          <w:szCs w:val="24"/>
        </w:rPr>
      </w:pPr>
      <w:r>
        <w:rPr>
          <w:rFonts w:ascii="Times New Roman" w:hAnsi="Times New Roman" w:cs="Times New Roman" w:eastAsia="Times New Roman"/>
          <w:sz w:val="24"/>
          <w:szCs w:val="24"/>
        </w:rPr>
        <w:t>4. Несие алуды сату түсімімен араластыру қандай қатеге әкеледі?</w:t>
      </w:r>
    </w:p>
    <w:p>
      <w:pPr>
        <w:spacing w:after="80"/>
        <w:ind w:left="170" w:firstLine="709"/>
        <w:jc w:val="both"/>
        <w:rPr>
          <w:szCs w:val="24"/>
        </w:rPr>
      </w:pPr>
      <w:r>
        <w:rPr>
          <w:rFonts w:ascii="Times New Roman" w:hAnsi="Times New Roman" w:cs="Times New Roman" w:eastAsia="Times New Roman"/>
          <w:sz w:val="24"/>
          <w:szCs w:val="24"/>
        </w:rPr>
        <w:t>5. Қарыз қозғалысында қандай ақшалай емес өзгерістер болуы мүмкін?</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Операциялық пайда 200, амортизация 50, дебиторлық берешек өсімі 30, қор азаюы 10, кредиторлық берешек азаюы 20, салық төлемі 25. Жауап: 200 + 50 − 30 + 10 − 20 − 25 = 185 мың теңге.</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[Ә2] Нурсеитов, Э.О. МСФО в Казахстане: принципы перехода и применения / Э.О. Нурсеитов, Д.Э. Нурсеитов.- Изд. 2-е, доп. и перераб.- Алматы: LEM, 2013.- 388 с.</w:t>
      </w:r>
    </w:p>
    <w:p>
      <w:pPr>
        <w:spacing w:after="60"/>
        <w:ind w:firstLine="709"/>
        <w:jc w:val="both"/>
        <w:rPr>
          <w:szCs w:val="24"/>
        </w:rPr>
      </w:pPr>
      <w:r>
        <w:rPr>
          <w:rFonts w:ascii="Times New Roman" w:hAnsi="Times New Roman" w:cs="Times New Roman" w:eastAsia="Times New Roman"/>
          <w:sz w:val="24"/>
          <w:szCs w:val="24"/>
        </w:rPr>
        <w:t>[Ә3] Международные стандарты финансовой отчетности в ред. 2026 г.</w:t>
      </w:r>
    </w:p>
    <w:p>
      <w:pPr>
        <w:spacing w:after="60"/>
        <w:ind w:firstLine="709"/>
        <w:jc w:val="both"/>
        <w:rPr>
          <w:szCs w:val="24"/>
        </w:rPr>
      </w:pPr>
      <w:r>
        <w:rPr>
          <w:rFonts w:ascii="Times New Roman" w:hAnsi="Times New Roman" w:cs="Times New Roman" w:eastAsia="Times New Roman"/>
          <w:sz w:val="24"/>
          <w:szCs w:val="24"/>
        </w:rPr>
        <w:t xml:space="preserve">[Ә5] Селезнева, Н. Н. Анализ финансовой отчетности организации : учебное пособие для студентов вузов по специальности «Бухгалтерский учет, анализ и аудит», слушателей курсов по подготовке и переподготовке бухгалтеров и аудиторов / Н. Н. Селезнева, А. Ф. Ионова. — 3-е изд. — Москва : ЮНИТИ-ДАНА, 2023. — 583 c. — ISBN 978-5-238-01178-3.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Ресми және бастапқы дереккөздер</w:t>
      </w:r>
    </w:p>
    <w:p>
      <w:pPr>
        <w:spacing w:after="60"/>
        <w:ind w:firstLine="709"/>
        <w:jc w:val="both"/>
        <w:rPr>
          <w:szCs w:val="24"/>
        </w:rPr>
      </w:pPr>
      <w:r>
        <w:rPr>
          <w:rFonts w:ascii="Times New Roman" w:hAnsi="Times New Roman" w:cs="Times New Roman" w:eastAsia="Times New Roman"/>
          <w:sz w:val="24"/>
          <w:szCs w:val="24"/>
        </w:rPr>
        <w:t xml:space="preserve">[Н9] IFRS Foundation. IAS 7 Statement of Cash Flows. </w:t>
      </w:r>
      <w:hyperlink r:id="rId15">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[Н7] IFRS Foundation. IFRS 18 Presentation and Disclosure in Financial Statements. </w:t>
      </w:r>
      <w:hyperlink r:id="rId16">
        <w:r>
          <w:rPr>
            <w:rFonts w:ascii="Times New Roman" w:hAnsi="Times New Roman" w:cs="Times New Roman" w:eastAsia="Times New Roman"/>
            <w:u w:val="single"/>
            <w:color w:val="000000"/>
            <w:sz w:val="24"/>
            <w:szCs w:val="24"/>
          </w:rPr>
          <w:t>Дереккөзді ашу</w:t>
        </w:r>
      </w:hyperlink>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4.html" TargetMode="External"/><Relationship Id="rId15" Type="http://schemas.openxmlformats.org/officeDocument/2006/relationships/hyperlink" Target="https://www.ifrs.org/issued-standards/list-of-standards/ias-7-statement-of-cash-flows/" TargetMode="External"/><Relationship Id="rId16" Type="http://schemas.openxmlformats.org/officeDocument/2006/relationships/hyperlink" Target="https://www.ifrs.org/issued-standards/list-of-standards/ifrs-18-presentation-and-disclosure-in-financial-stat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Ақша қаражатының қозғалысы туралы есеп</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