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spacing w:after="80"/>
        <w:ind w:firstLine="709"/>
        <w:jc w:val="both"/>
        <w:rPr>
          <w:szCs w:val="24"/>
        </w:rPr>
      </w:pPr>
      <w:r>
        <w:rPr>
          <w:rFonts w:ascii="Times New Roman" w:hAnsi="Times New Roman" w:cs="Times New Roman" w:eastAsia="Times New Roman"/>
          <w:b/>
          <w:sz w:val="24"/>
          <w:szCs w:val="24"/>
        </w:rPr>
        <w:t>6 ДӘРІС</w:t>
      </w:r>
    </w:p>
    <w:p>
      <w:pPr>
        <w:pStyle w:val="aa"/>
        <w:ind w:firstLine="709"/>
        <w:jc w:val="both"/>
        <w:rPr>
          <w:rFonts w:ascii="Times New Roman" w:hAnsi="Times New Roman" w:cs="Times New Roman"/>
          <w:sz w:val="24"/>
          <w:szCs w:val="24"/>
        </w:rPr>
      </w:pPr>
      <w:r>
        <w:rPr>
          <w:rFonts w:ascii="Times New Roman" w:hAnsi="Times New Roman" w:cs="Times New Roman" w:eastAsia="Times New Roman"/>
          <w:sz w:val="24"/>
          <w:szCs w:val="24"/>
        </w:rPr>
        <w:t>Пайда немесе залал және өзге жиынтық кіріс туралы есеп</w:t>
      </w:r>
    </w:p>
    <w:p>
      <w:pPr>
        <w:ind w:firstLine="709"/>
        <w:jc w:val="both"/>
        <w:rPr>
          <w:szCs w:val="24"/>
        </w:rPr>
      </w:pPr>
      <w:r>
        <w:rPr>
          <w:rFonts w:ascii="Times New Roman" w:hAnsi="Times New Roman" w:cs="Times New Roman" w:eastAsia="Times New Roman"/>
          <w:b/>
          <w:sz w:val="24"/>
          <w:szCs w:val="24"/>
        </w:rPr>
        <w:t xml:space="preserve">Дәрістің мақсаты. </w:t>
      </w:r>
      <w:r>
        <w:rPr>
          <w:rFonts w:ascii="Times New Roman" w:hAnsi="Times New Roman" w:cs="Times New Roman" w:eastAsia="Times New Roman"/>
          <w:sz w:val="24"/>
          <w:szCs w:val="24"/>
        </w:rPr>
        <w:t>Кіріс пен шығыстың қаржылық нәтижеге әсерін түсіну, таза пайда мен өзге жиынтық кірісті ажырату және IFRS 18 құрылымы бойынша есепті оқу.</w:t>
      </w:r>
    </w:p>
    <w:p>
      <w:pPr>
        <w:ind w:firstLine="709"/>
        <w:jc w:val="both"/>
        <w:rPr>
          <w:szCs w:val="24"/>
        </w:rPr>
      </w:pPr>
      <w:r>
        <w:rPr>
          <w:rFonts w:ascii="Times New Roman" w:hAnsi="Times New Roman" w:cs="Times New Roman" w:eastAsia="Times New Roman"/>
          <w:b/>
          <w:sz w:val="24"/>
          <w:szCs w:val="24"/>
        </w:rPr>
        <w:t xml:space="preserve">Қарастырылатын сұрақтар. </w:t>
      </w:r>
      <w:r>
        <w:rPr>
          <w:rFonts w:ascii="Times New Roman" w:hAnsi="Times New Roman" w:cs="Times New Roman" w:eastAsia="Times New Roman"/>
          <w:sz w:val="24"/>
          <w:szCs w:val="24"/>
        </w:rPr>
        <w:t>Кіріс ақша түсімімен неге бірдей емес; Шығыстарды сипаты және функциясы бойынша ұсыну; IFRS 18 бойынша санаттар мен аралық қорытындылар; Қаржылық нәтижені кезеңмен есептеу мысалы; Өзге жиынтық кіріс деген не; Басшылық айқындайтын көрсеткіштер.</w:t>
      </w:r>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1 Кіріс ақша түсімімен неге бірдей емес</w:t>
      </w:r>
    </w:p>
    <w:p>
      <w:pPr>
        <w:ind w:firstLine="709"/>
        <w:jc w:val="both"/>
        <w:rPr>
          <w:szCs w:val="24"/>
        </w:rPr>
      </w:pPr>
      <w:r>
        <w:rPr>
          <w:rFonts w:ascii="Times New Roman" w:hAnsi="Times New Roman" w:cs="Times New Roman" w:eastAsia="Times New Roman"/>
          <w:sz w:val="24"/>
          <w:szCs w:val="24"/>
        </w:rPr>
        <w:t>Өнім сатып алушыға беріліп, тиісті тану талаптары орындалса, төлем кейін түссе де кіріс танылуы мүмкін. Ал алынған аванс ұйым әлі өнім бермеген кезде міндеттеме болуы ықтимал. Бұл айырма есептеу әдісінің мәнін көрсетеді. Кірісті танудың нақты тәртібі мәміленің мазмұны мен тиісті стандартқа сәйкес анықталады.</w:t>
      </w:r>
    </w:p>
    <w:p>
      <w:pPr>
        <w:ind w:firstLine="709"/>
        <w:jc w:val="both"/>
        <w:rPr>
          <w:szCs w:val="24"/>
        </w:rPr>
      </w:pPr>
      <w:r>
        <w:rPr>
          <w:rFonts w:ascii="Times New Roman" w:hAnsi="Times New Roman" w:cs="Times New Roman" w:eastAsia="Times New Roman"/>
          <w:sz w:val="24"/>
          <w:szCs w:val="24"/>
        </w:rPr>
        <w:t>Шығыс та төлемге ғана тәуелді емес. Амортизация, есептелген жалақы немесе құнсыздану шығысы сол сәтте ақша төленбесе де нәтижеге кіреді. Пайда — кірістер мен шығыстар арасындағы айырма, ал ақша қозғалысы бөлек есепте түсіндіріледі.</w:t>
      </w:r>
    </w:p>
    <w:p>
      <w:pPr>
        <w:ind w:firstLine="709"/>
        <w:jc w:val="both"/>
        <w:rPr>
          <w:szCs w:val="24"/>
        </w:rPr>
      </w:pPr>
      <m:oMath>
        <m:r>
          <m:rPr>
            <m:nor/>
          </m:rPr>
          <w:rPr>
            <w:rFonts w:ascii="Times New Roman" w:hAnsi="Times New Roman"/>
            <w:sz w:val="22"/>
          </w:rPr>
          <m:t xml:space="preserve">Пайда немесе залал = Кірістер − Шығыстар</m:t>
        </m:r>
      </m:oMath>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2 Шығыстарды сипаты және функциясы бойынша ұсыну</w:t>
      </w:r>
    </w:p>
    <w:p>
      <w:pPr>
        <w:ind w:firstLine="709"/>
        <w:jc w:val="both"/>
        <w:rPr>
          <w:szCs w:val="24"/>
        </w:rPr>
      </w:pPr>
      <w:r>
        <w:rPr>
          <w:rFonts w:ascii="Times New Roman" w:hAnsi="Times New Roman" w:cs="Times New Roman" w:eastAsia="Times New Roman"/>
          <w:sz w:val="24"/>
          <w:szCs w:val="24"/>
        </w:rPr>
        <w:t>Сипаты бойынша ұсынуда материал, еңбекақы, амортизация сияқты экономикалық түрлер көрсетіледі. Функциясы бойынша ұсынуда сатылған өнімнің өзіндік құны, өткізу және әкімшілік шығыстар секілді бағыттар беріледі. Біріншісі қандай ресурс жұмсалғанын, екіншісі ол қай мақсатта жұмсалғанын түсіндіреді.</w:t>
      </w:r>
    </w:p>
    <w:p>
      <w:pPr>
        <w:ind w:firstLine="709"/>
        <w:jc w:val="both"/>
        <w:rPr>
          <w:szCs w:val="24"/>
        </w:rPr>
      </w:pPr>
      <w:r>
        <w:rPr>
          <w:rFonts w:ascii="Times New Roman" w:hAnsi="Times New Roman" w:cs="Times New Roman" w:eastAsia="Times New Roman"/>
          <w:sz w:val="24"/>
          <w:szCs w:val="24"/>
        </w:rPr>
        <w:t>Бөлек мысалда 200 мың теңге амортизацияның 120-сы өндіріс жабдығына, 80-і әкімшілік кеңсеге қатысты болса, функциялық жіктеуде ол әртүрлі жолдарға таралады. Амортизацияны жеке жолға қайта қосу шығысты екі рет есептеуге әкеледі. Ұсыну тәсілін таңдағанда пайдаланушыға ең түсінікті құрылым мен тиісті ашып көрсету талаптары ескеріледі.</w:t>
      </w:r>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3 IFRS 18 бойынша санаттар мен аралық қорытындылар</w:t>
      </w:r>
    </w:p>
    <w:p>
      <w:pPr>
        <w:ind w:firstLine="709"/>
        <w:jc w:val="both"/>
        <w:rPr>
          <w:szCs w:val="24"/>
        </w:rPr>
      </w:pPr>
      <w:r>
        <w:rPr>
          <w:rFonts w:ascii="Times New Roman" w:hAnsi="Times New Roman" w:cs="Times New Roman" w:eastAsia="Times New Roman"/>
          <w:sz w:val="24"/>
          <w:szCs w:val="24"/>
        </w:rPr>
        <w:t>Пайда немесе залал туралы есепте кірістер мен шығыстар операциялық, инвестициялық, қаржыландыру, пайдаға салынатын салық және тоқтатылған қызмет санаттарына бөлінеді. Операциялық пайда және қаржыландыру мен пайдаға салынатын салыққа дейінгі пайда сияқты анықталған аралық қорытындылар салыстыруды жақсартады. Арнайы негізгі қызметі бар ұйымдар үшін жіктеу ерекшеліктері ескеріледі. [Н7]</w:t>
      </w:r>
    </w:p>
    <w:p>
      <w:pPr>
        <w:ind w:firstLine="709"/>
        <w:jc w:val="both"/>
        <w:rPr>
          <w:szCs w:val="24"/>
        </w:rPr>
      </w:pPr>
      <w:r>
        <w:rPr>
          <w:rFonts w:ascii="Times New Roman" w:hAnsi="Times New Roman" w:cs="Times New Roman" w:eastAsia="Times New Roman"/>
          <w:sz w:val="24"/>
          <w:szCs w:val="24"/>
        </w:rPr>
        <w:t>Инвестициялық және қаржыландыру санаты барлық ұйым үшін күнделікті тілдегі «инвестиция» мен «қаржы» сөздерімен бірдей емес. Мысалы, активке инвестициялау негізгі қызмет болатын ұйымның кейбір кірістері операциялық санатқа жатуы мүмкін. Сондықтан банктің пайыздық кірісін өндірістік кәсіпорынның депозиттік кірісімен механикалық түрде бір жолға көшіруге болмайды. [Н8]</w:t>
      </w:r>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4 Қаржылық нәтижені кезеңмен есептеу мысалы</w:t>
      </w:r>
    </w:p>
    <w:p>
      <w:pPr>
        <w:ind w:firstLine="709"/>
        <w:jc w:val="both"/>
        <w:rPr>
          <w:szCs w:val="24"/>
        </w:rPr>
      </w:pPr>
      <w:r>
        <w:rPr>
          <w:rFonts w:ascii="Times New Roman" w:hAnsi="Times New Roman" w:cs="Times New Roman" w:eastAsia="Times New Roman"/>
          <w:sz w:val="24"/>
          <w:szCs w:val="24"/>
        </w:rPr>
        <w:t>«АрнаӨндіріс» — клиенттерді қаржыландыру немесе активтерге инвестициялау арнайы негізгі қызметі болып табылмайтын шартты өндірістік ұйым. Дивидендтік инвестициялық кіріс 20 мың теңге. Мысалда тоқтатылған қызмет, шоғырландыру және бақыланбайтын үлес жоқ; салық шығысы есеп деректерінен алынған 70 мың теңге ретінде берілген.</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65" w:type="dxa"/>
          <w:bottom w:w="65" w:type="dxa"/>
          <w:left w:w="85" w:type="dxa"/>
          <w:right w:w="85" w:type="dxa"/>
        </w:tblCellMar>
      </w:tblPr>
      <w:tblGrid>
        <w:gridCol w:w="3976"/>
        <w:gridCol w:w="5491"/>
      </w:tblGrid>
      <w:tr>
        <w:trPr>
          <w:tblHeader/>
          <w:cantSplit/>
        </w:trPr>
        <w:tc>
          <w:tcPr>
            <w:tcW w:type="dxa" w:w="3976"/>
            <w:vAlign w:val="center"/>
            <w:shd w:fill="E9EEF4"/>
          </w:tcPr>
          <w:p>
            <w:pPr>
              <w:spacing w:line="252" w:lineRule="auto" w:after="20"/>
            </w:pPr>
            <w:r>
              <w:rPr>
                <w:rFonts w:ascii="Times New Roman" w:hAnsi="Times New Roman" w:cs="Times New Roman" w:eastAsia="Times New Roman"/>
                <w:b/>
                <w:sz w:val="24"/>
                <w:szCs w:val="24"/>
              </w:rPr>
              <w:t>Көрсеткіш</w:t>
            </w:r>
          </w:p>
        </w:tc>
        <w:tc>
          <w:tcPr>
            <w:tcW w:type="dxa" w:w="5491"/>
            <w:vAlign w:val="center"/>
            <w:shd w:fill="E9EEF4"/>
          </w:tcPr>
          <w:p>
            <w:pPr>
              <w:spacing w:line="252" w:lineRule="auto" w:after="20"/>
            </w:pPr>
            <w:r>
              <w:rPr>
                <w:rFonts w:ascii="Times New Roman" w:hAnsi="Times New Roman" w:cs="Times New Roman" w:eastAsia="Times New Roman"/>
                <w:b/>
                <w:sz w:val="24"/>
                <w:szCs w:val="24"/>
              </w:rPr>
              <w:t>2027 жыл мың теңге</w:t>
            </w:r>
          </w:p>
        </w:tc>
      </w:tr>
      <w:tr>
        <w:trPr>
          <w:cantSplit/>
        </w:trPr>
        <w:tc>
          <w:tcPr>
            <w:tcW w:type="dxa" w:w="3976"/>
            <w:vAlign w:val="center"/>
          </w:tcPr>
          <w:p>
            <w:pPr>
              <w:spacing w:line="252" w:lineRule="auto" w:after="20"/>
            </w:pPr>
            <w:r>
              <w:rPr>
                <w:rFonts w:ascii="Times New Roman" w:hAnsi="Times New Roman" w:cs="Times New Roman" w:eastAsia="Times New Roman"/>
                <w:sz w:val="24"/>
                <w:szCs w:val="24"/>
              </w:rPr>
              <w:t>Өнім сатудан түскен кіріс</w:t>
            </w:r>
          </w:p>
        </w:tc>
        <w:tc>
          <w:tcPr>
            <w:tcW w:type="dxa" w:w="5491"/>
            <w:vAlign w:val="center"/>
          </w:tcPr>
          <w:p>
            <w:pPr>
              <w:spacing w:line="252" w:lineRule="auto" w:after="20"/>
              <w:jc w:val="center"/>
            </w:pPr>
            <w:r>
              <w:rPr>
                <w:rFonts w:ascii="Times New Roman" w:hAnsi="Times New Roman" w:cs="Times New Roman" w:eastAsia="Times New Roman"/>
                <w:sz w:val="24"/>
                <w:szCs w:val="24"/>
              </w:rPr>
              <w:t>3 000</w:t>
            </w:r>
          </w:p>
        </w:tc>
      </w:tr>
      <w:tr>
        <w:trPr>
          <w:cantSplit/>
        </w:trPr>
        <w:tc>
          <w:tcPr>
            <w:tcW w:type="dxa" w:w="3976"/>
            <w:vAlign w:val="center"/>
          </w:tcPr>
          <w:p>
            <w:pPr>
              <w:spacing w:line="252" w:lineRule="auto" w:after="20"/>
            </w:pPr>
            <w:r>
              <w:rPr>
                <w:rFonts w:ascii="Times New Roman" w:hAnsi="Times New Roman" w:cs="Times New Roman" w:eastAsia="Times New Roman"/>
                <w:sz w:val="24"/>
                <w:szCs w:val="24"/>
              </w:rPr>
              <w:t>Сатылған өнімнің өзіндік құны</w:t>
            </w:r>
          </w:p>
        </w:tc>
        <w:tc>
          <w:tcPr>
            <w:tcW w:type="dxa" w:w="5491"/>
            <w:vAlign w:val="center"/>
          </w:tcPr>
          <w:p>
            <w:pPr>
              <w:spacing w:line="252" w:lineRule="auto" w:after="20"/>
              <w:jc w:val="center"/>
            </w:pPr>
            <w:r>
              <w:rPr>
                <w:rFonts w:ascii="Times New Roman" w:hAnsi="Times New Roman" w:cs="Times New Roman" w:eastAsia="Times New Roman"/>
                <w:sz w:val="24"/>
                <w:szCs w:val="24"/>
              </w:rPr>
              <w:t>−1 800</w:t>
            </w:r>
          </w:p>
        </w:tc>
      </w:tr>
      <w:tr>
        <w:trPr>
          <w:cantSplit/>
        </w:trPr>
        <w:tc>
          <w:tcPr>
            <w:tcW w:type="dxa" w:w="3976"/>
            <w:vAlign w:val="center"/>
          </w:tcPr>
          <w:p>
            <w:pPr>
              <w:spacing w:line="252" w:lineRule="auto" w:after="20"/>
            </w:pPr>
            <w:r>
              <w:rPr>
                <w:rFonts w:ascii="Times New Roman" w:hAnsi="Times New Roman" w:cs="Times New Roman" w:eastAsia="Times New Roman"/>
                <w:sz w:val="24"/>
                <w:szCs w:val="24"/>
              </w:rPr>
              <w:t>Жалпы пайда</w:t>
            </w:r>
          </w:p>
        </w:tc>
        <w:tc>
          <w:tcPr>
            <w:tcW w:type="dxa" w:w="5491"/>
            <w:vAlign w:val="center"/>
          </w:tcPr>
          <w:p>
            <w:pPr>
              <w:spacing w:line="252" w:lineRule="auto" w:after="20"/>
              <w:jc w:val="center"/>
            </w:pPr>
            <w:r>
              <w:rPr>
                <w:rFonts w:ascii="Times New Roman" w:hAnsi="Times New Roman" w:cs="Times New Roman" w:eastAsia="Times New Roman"/>
                <w:sz w:val="24"/>
                <w:szCs w:val="24"/>
              </w:rPr>
              <w:t>1 200</w:t>
            </w:r>
          </w:p>
        </w:tc>
      </w:tr>
      <w:tr>
        <w:trPr>
          <w:cantSplit/>
        </w:trPr>
        <w:tc>
          <w:tcPr>
            <w:tcW w:type="dxa" w:w="3976"/>
            <w:vAlign w:val="center"/>
          </w:tcPr>
          <w:p>
            <w:pPr>
              <w:spacing w:line="252" w:lineRule="auto" w:after="20"/>
            </w:pPr>
            <w:r>
              <w:rPr>
                <w:rFonts w:ascii="Times New Roman" w:hAnsi="Times New Roman" w:cs="Times New Roman" w:eastAsia="Times New Roman"/>
                <w:sz w:val="24"/>
                <w:szCs w:val="24"/>
              </w:rPr>
              <w:t>Өткізу және әкімшілік шығыстар</w:t>
            </w:r>
          </w:p>
        </w:tc>
        <w:tc>
          <w:tcPr>
            <w:tcW w:type="dxa" w:w="5491"/>
            <w:vAlign w:val="center"/>
          </w:tcPr>
          <w:p>
            <w:pPr>
              <w:spacing w:line="252" w:lineRule="auto" w:after="20"/>
              <w:jc w:val="center"/>
            </w:pPr>
            <w:r>
              <w:rPr>
                <w:rFonts w:ascii="Times New Roman" w:hAnsi="Times New Roman" w:cs="Times New Roman" w:eastAsia="Times New Roman"/>
                <w:sz w:val="24"/>
                <w:szCs w:val="24"/>
              </w:rPr>
              <w:t>−720</w:t>
            </w:r>
          </w:p>
        </w:tc>
      </w:tr>
      <w:tr>
        <w:trPr>
          <w:cantSplit/>
        </w:trPr>
        <w:tc>
          <w:tcPr>
            <w:tcW w:type="dxa" w:w="3976"/>
            <w:vAlign w:val="center"/>
          </w:tcPr>
          <w:p>
            <w:pPr>
              <w:spacing w:line="252" w:lineRule="auto" w:after="20"/>
            </w:pPr>
            <w:r>
              <w:rPr>
                <w:rFonts w:ascii="Times New Roman" w:hAnsi="Times New Roman" w:cs="Times New Roman" w:eastAsia="Times New Roman"/>
                <w:sz w:val="24"/>
                <w:szCs w:val="24"/>
              </w:rPr>
              <w:t>Операциялық пайда</w:t>
            </w:r>
          </w:p>
        </w:tc>
        <w:tc>
          <w:tcPr>
            <w:tcW w:type="dxa" w:w="5491"/>
            <w:vAlign w:val="center"/>
          </w:tcPr>
          <w:p>
            <w:pPr>
              <w:spacing w:line="252" w:lineRule="auto" w:after="20"/>
              <w:jc w:val="center"/>
            </w:pPr>
            <w:r>
              <w:rPr>
                <w:rFonts w:ascii="Times New Roman" w:hAnsi="Times New Roman" w:cs="Times New Roman" w:eastAsia="Times New Roman"/>
                <w:sz w:val="24"/>
                <w:szCs w:val="24"/>
              </w:rPr>
              <w:t>480</w:t>
            </w:r>
          </w:p>
        </w:tc>
      </w:tr>
      <w:tr>
        <w:trPr>
          <w:cantSplit/>
        </w:trPr>
        <w:tc>
          <w:tcPr>
            <w:tcW w:type="dxa" w:w="3976"/>
            <w:vAlign w:val="center"/>
          </w:tcPr>
          <w:p>
            <w:pPr>
              <w:spacing w:line="252" w:lineRule="auto" w:after="20"/>
            </w:pPr>
            <w:r>
              <w:rPr>
                <w:rFonts w:ascii="Times New Roman" w:hAnsi="Times New Roman" w:cs="Times New Roman" w:eastAsia="Times New Roman"/>
                <w:sz w:val="24"/>
                <w:szCs w:val="24"/>
              </w:rPr>
              <w:t>Инвестициялық дивиденд кірісі</w:t>
            </w:r>
          </w:p>
        </w:tc>
        <w:tc>
          <w:tcPr>
            <w:tcW w:type="dxa" w:w="5491"/>
            <w:vAlign w:val="center"/>
          </w:tcPr>
          <w:p>
            <w:pPr>
              <w:spacing w:line="252" w:lineRule="auto" w:after="20"/>
              <w:jc w:val="center"/>
            </w:pPr>
            <w:r>
              <w:rPr>
                <w:rFonts w:ascii="Times New Roman" w:hAnsi="Times New Roman" w:cs="Times New Roman" w:eastAsia="Times New Roman"/>
                <w:sz w:val="24"/>
                <w:szCs w:val="24"/>
              </w:rPr>
              <w:t>20</w:t>
            </w:r>
          </w:p>
        </w:tc>
      </w:tr>
      <w:tr>
        <w:trPr>
          <w:cantSplit/>
        </w:trPr>
        <w:tc>
          <w:tcPr>
            <w:tcW w:type="dxa" w:w="3976"/>
            <w:vAlign w:val="center"/>
          </w:tcPr>
          <w:p>
            <w:pPr>
              <w:spacing w:line="252" w:lineRule="auto" w:after="20"/>
            </w:pPr>
            <w:r>
              <w:rPr>
                <w:rFonts w:ascii="Times New Roman" w:hAnsi="Times New Roman" w:cs="Times New Roman" w:eastAsia="Times New Roman"/>
                <w:sz w:val="24"/>
                <w:szCs w:val="24"/>
              </w:rPr>
              <w:t>Қаржыландыру мен салыққа дейінгі пайда</w:t>
            </w:r>
          </w:p>
        </w:tc>
        <w:tc>
          <w:tcPr>
            <w:tcW w:type="dxa" w:w="5491"/>
            <w:vAlign w:val="center"/>
          </w:tcPr>
          <w:p>
            <w:pPr>
              <w:spacing w:line="252" w:lineRule="auto" w:after="20"/>
              <w:jc w:val="center"/>
            </w:pPr>
            <w:r>
              <w:rPr>
                <w:rFonts w:ascii="Times New Roman" w:hAnsi="Times New Roman" w:cs="Times New Roman" w:eastAsia="Times New Roman"/>
                <w:sz w:val="24"/>
                <w:szCs w:val="24"/>
              </w:rPr>
              <w:t>500</w:t>
            </w:r>
          </w:p>
        </w:tc>
      </w:tr>
      <w:tr>
        <w:trPr>
          <w:cantSplit/>
        </w:trPr>
        <w:tc>
          <w:tcPr>
            <w:tcW w:type="dxa" w:w="3976"/>
            <w:vAlign w:val="center"/>
          </w:tcPr>
          <w:p>
            <w:pPr>
              <w:spacing w:line="252" w:lineRule="auto" w:after="20"/>
            </w:pPr>
            <w:r>
              <w:rPr>
                <w:rFonts w:ascii="Times New Roman" w:hAnsi="Times New Roman" w:cs="Times New Roman" w:eastAsia="Times New Roman"/>
                <w:sz w:val="24"/>
                <w:szCs w:val="24"/>
              </w:rPr>
              <w:t>Қаржыландыру шығысы</w:t>
            </w:r>
          </w:p>
        </w:tc>
        <w:tc>
          <w:tcPr>
            <w:tcW w:type="dxa" w:w="5491"/>
            <w:vAlign w:val="center"/>
          </w:tcPr>
          <w:p>
            <w:pPr>
              <w:spacing w:line="252" w:lineRule="auto" w:after="20"/>
              <w:jc w:val="center"/>
            </w:pPr>
            <w:r>
              <w:rPr>
                <w:rFonts w:ascii="Times New Roman" w:hAnsi="Times New Roman" w:cs="Times New Roman" w:eastAsia="Times New Roman"/>
                <w:sz w:val="24"/>
                <w:szCs w:val="24"/>
              </w:rPr>
              <w:t>−80</w:t>
            </w:r>
          </w:p>
        </w:tc>
      </w:tr>
      <w:tr>
        <w:trPr>
          <w:cantSplit/>
        </w:trPr>
        <w:tc>
          <w:tcPr>
            <w:tcW w:type="dxa" w:w="3976"/>
            <w:vAlign w:val="center"/>
          </w:tcPr>
          <w:p>
            <w:pPr>
              <w:spacing w:line="252" w:lineRule="auto" w:after="20"/>
            </w:pPr>
            <w:r>
              <w:rPr>
                <w:rFonts w:ascii="Times New Roman" w:hAnsi="Times New Roman" w:cs="Times New Roman" w:eastAsia="Times New Roman"/>
                <w:sz w:val="24"/>
                <w:szCs w:val="24"/>
              </w:rPr>
              <w:t>Салыққа дейінгі пайда</w:t>
            </w:r>
          </w:p>
        </w:tc>
        <w:tc>
          <w:tcPr>
            <w:tcW w:type="dxa" w:w="5491"/>
            <w:vAlign w:val="center"/>
          </w:tcPr>
          <w:p>
            <w:pPr>
              <w:spacing w:line="252" w:lineRule="auto" w:after="20"/>
              <w:jc w:val="center"/>
            </w:pPr>
            <w:r>
              <w:rPr>
                <w:rFonts w:ascii="Times New Roman" w:hAnsi="Times New Roman" w:cs="Times New Roman" w:eastAsia="Times New Roman"/>
                <w:sz w:val="24"/>
                <w:szCs w:val="24"/>
              </w:rPr>
              <w:t>420</w:t>
            </w:r>
          </w:p>
        </w:tc>
      </w:tr>
      <w:tr>
        <w:trPr>
          <w:cantSplit/>
        </w:trPr>
        <w:tc>
          <w:tcPr>
            <w:tcW w:type="dxa" w:w="3976"/>
            <w:vAlign w:val="center"/>
          </w:tcPr>
          <w:p>
            <w:pPr>
              <w:spacing w:line="252" w:lineRule="auto" w:after="20"/>
            </w:pPr>
            <w:r>
              <w:rPr>
                <w:rFonts w:ascii="Times New Roman" w:hAnsi="Times New Roman" w:cs="Times New Roman" w:eastAsia="Times New Roman"/>
                <w:sz w:val="24"/>
                <w:szCs w:val="24"/>
              </w:rPr>
              <w:t>Пайдаға салынатын салық шығысы</w:t>
            </w:r>
          </w:p>
        </w:tc>
        <w:tc>
          <w:tcPr>
            <w:tcW w:type="dxa" w:w="5491"/>
            <w:vAlign w:val="center"/>
          </w:tcPr>
          <w:p>
            <w:pPr>
              <w:spacing w:line="252" w:lineRule="auto" w:after="20"/>
              <w:jc w:val="center"/>
            </w:pPr>
            <w:r>
              <w:rPr>
                <w:rFonts w:ascii="Times New Roman" w:hAnsi="Times New Roman" w:cs="Times New Roman" w:eastAsia="Times New Roman"/>
                <w:sz w:val="24"/>
                <w:szCs w:val="24"/>
              </w:rPr>
              <w:t>−70</w:t>
            </w:r>
          </w:p>
        </w:tc>
      </w:tr>
      <w:tr>
        <w:trPr>
          <w:cantSplit/>
        </w:trPr>
        <w:tc>
          <w:tcPr>
            <w:tcW w:type="dxa" w:w="3976"/>
            <w:vAlign w:val="center"/>
          </w:tcPr>
          <w:p>
            <w:pPr>
              <w:spacing w:line="252" w:lineRule="auto" w:after="20"/>
            </w:pPr>
            <w:r>
              <w:rPr>
                <w:rFonts w:ascii="Times New Roman" w:hAnsi="Times New Roman" w:cs="Times New Roman" w:eastAsia="Times New Roman"/>
                <w:sz w:val="24"/>
                <w:szCs w:val="24"/>
              </w:rPr>
              <w:t>Таза пайда</w:t>
            </w:r>
          </w:p>
        </w:tc>
        <w:tc>
          <w:tcPr>
            <w:tcW w:type="dxa" w:w="5491"/>
            <w:vAlign w:val="center"/>
          </w:tcPr>
          <w:p>
            <w:pPr>
              <w:spacing w:line="252" w:lineRule="auto" w:after="20"/>
              <w:jc w:val="center"/>
            </w:pPr>
            <w:r>
              <w:rPr>
                <w:rFonts w:ascii="Times New Roman" w:hAnsi="Times New Roman" w:cs="Times New Roman" w:eastAsia="Times New Roman"/>
                <w:sz w:val="24"/>
                <w:szCs w:val="24"/>
              </w:rPr>
              <w:t>350</w:t>
            </w:r>
          </w:p>
        </w:tc>
      </w:tr>
    </w:tbl>
    <w:p>
      <w:pPr>
        <w:ind w:firstLine="709"/>
        <w:jc w:val="both"/>
        <w:rPr>
          <w:szCs w:val="24"/>
        </w:rPr>
      </w:pPr>
    </w:p>
    <w:p>
      <w:pPr>
        <w:ind w:firstLine="709"/>
        <w:jc w:val="both"/>
        <w:rPr>
          <w:szCs w:val="24"/>
        </w:rPr>
      </w:pPr>
      <w:r>
        <w:rPr>
          <w:rFonts w:ascii="Times New Roman" w:hAnsi="Times New Roman" w:cs="Times New Roman" w:eastAsia="Times New Roman"/>
          <w:sz w:val="24"/>
          <w:szCs w:val="24"/>
        </w:rPr>
        <w:t>Жалпы маржа 40%: әрбір 100 теңге сатудан өзіндік құн шегерілген соң 40 теңге қалады. Операциялық маржа 16%, таза маржа шамамен 11,67%. Бұл көрсеткіштер әртүрлі шығын деңгейінен кейінгі нәтижені өлшейді, сондықтан бірін екіншісінің орнына қолдануға болмайды.</w:t>
      </w:r>
    </w:p>
    <w:p>
      <w:pPr>
        <w:ind w:firstLine="709"/>
        <w:jc w:val="both"/>
        <w:rPr>
          <w:szCs w:val="24"/>
        </w:rPr>
        <w:keepNext/>
      </w:pPr>
      <w:r>
        <w:rPr>
          <w:rFonts w:ascii="Times New Roman" w:hAnsi="Times New Roman" w:cs="Times New Roman" w:eastAsia="Times New Roman"/>
          <w:b/>
          <w:sz w:val="24"/>
          <w:szCs w:val="24"/>
        </w:rPr>
        <w:t>Таза маржа</w:t>
      </w:r>
    </w:p>
    <w:p>
      <w:pPr>
        <w:ind w:firstLine="709"/>
        <w:jc w:val="both"/>
        <w:rPr>
          <w:szCs w:val="24"/>
        </w:rPr>
      </w:pPr>
      <m:oMath>
        <m:f>
          <m:num>
            <m:r>
              <m:rPr>
                <m:nor/>
              </m:rPr>
              <w:rPr>
                <w:rFonts w:ascii="Times New Roman" w:hAnsi="Times New Roman"/>
                <w:sz w:val="22"/>
              </w:rPr>
              <m:t xml:space="preserve">350</m:t>
            </m:r>
          </m:num>
          <m:den>
            <m:r>
              <m:rPr>
                <m:nor/>
              </m:rPr>
              <w:rPr>
                <w:rFonts w:ascii="Times New Roman" w:hAnsi="Times New Roman"/>
                <w:sz w:val="22"/>
              </w:rPr>
              <m:t xml:space="preserve">3 000</m:t>
            </m:r>
          </m:den>
        </m:f>
        <m:r>
          <m:rPr>
            <m:nor/>
          </m:rPr>
          <w:rPr>
            <w:rFonts w:ascii="Times New Roman" w:hAnsi="Times New Roman"/>
            <w:sz w:val="22"/>
          </w:rPr>
          <m:t xml:space="preserve"> × 100% = 11,67%</m:t>
        </m:r>
      </m:oMath>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5 Өзге жиынтық кіріс деген не</w:t>
      </w:r>
    </w:p>
    <w:p>
      <w:pPr>
        <w:ind w:firstLine="709"/>
        <w:jc w:val="both"/>
        <w:rPr>
          <w:szCs w:val="24"/>
        </w:rPr>
      </w:pPr>
      <w:r>
        <w:rPr>
          <w:rFonts w:ascii="Times New Roman" w:hAnsi="Times New Roman" w:cs="Times New Roman" w:eastAsia="Times New Roman"/>
          <w:sz w:val="24"/>
          <w:szCs w:val="24"/>
        </w:rPr>
        <w:t>Өзге жиынтық кіріс — стандарттар талаптарына сәйкес сол кезеңнің пайдасы немесе залалына енгізілмейтін кіріс пен шығыс баптары. Негізгі құралды қайта бағалау өсімі оның бір мысалы. Ол ұйымның капиталын ұлғайтуы мүмкін, бірақ бұл соманы өнім сатудан алынған пайда деп түсіндіруге болмайды. [Н6]</w:t>
      </w:r>
    </w:p>
    <w:p>
      <w:pPr>
        <w:ind w:firstLine="709"/>
        <w:jc w:val="both"/>
        <w:rPr>
          <w:szCs w:val="24"/>
        </w:rPr>
      </w:pPr>
      <w:r>
        <w:rPr>
          <w:rFonts w:ascii="Times New Roman" w:hAnsi="Times New Roman" w:cs="Times New Roman" w:eastAsia="Times New Roman"/>
          <w:sz w:val="24"/>
          <w:szCs w:val="24"/>
        </w:rPr>
        <w:t>Оқу мысалында қайта бағалау бойынша салықтан кейінгі өзге жиынтық кіріс 20 мың теңге делік. Онда таза пайда 350, кезеңнің жиынтық кірісі 370 болады. Кейбір өзге жиынтық кіріс баптары кейін пайда немесе залалға қайта жіктелуі мүмкін, ал кейбірі жіктелмейді. Нақты тәртіп тиісті стандартқа тәуелді; барлық қайта бағалау резервін сату кезінде міндетті түрде пайдаға көшіру қате.</w:t>
      </w:r>
    </w:p>
    <w:p>
      <w:pPr>
        <w:ind w:firstLine="709"/>
        <w:jc w:val="both"/>
        <w:rPr>
          <w:szCs w:val="24"/>
        </w:rPr>
      </w:pPr>
      <m:oMath>
        <m:r>
          <m:rPr>
            <m:nor/>
          </m:rPr>
          <w:rPr>
            <w:rFonts w:ascii="Times New Roman" w:hAnsi="Times New Roman"/>
            <w:sz w:val="22"/>
          </w:rPr>
          <m:t xml:space="preserve">Жиынтық кіріс = 350 + 20 = 370</m:t>
        </m:r>
      </m:oMath>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6 Басшылық айқындайтын көрсеткіштер</w:t>
      </w:r>
    </w:p>
    <w:p>
      <w:pPr>
        <w:ind w:firstLine="709"/>
        <w:jc w:val="both"/>
        <w:rPr>
          <w:szCs w:val="24"/>
        </w:rPr>
      </w:pPr>
      <w:r>
        <w:rPr>
          <w:rFonts w:ascii="Times New Roman" w:hAnsi="Times New Roman" w:cs="Times New Roman" w:eastAsia="Times New Roman"/>
          <w:sz w:val="24"/>
          <w:szCs w:val="24"/>
        </w:rPr>
        <w:t>Ұйым сыртқы коммуникацияда «түзетілген операциялық пайда» сияқты ҚЕХС-та арнайы белгіленбеген аралық қорытындыны пайдалануы мүмкін. IFRS 18 шеңберіне кіретін басшылық айқындайтын көрсеткіш бойынша оның есептелуі, пайдаланылу себебі және салыстырылатын ҚЕХС көрсеткішімен байланысы ашылады. Әрбір коэффициент немесе ақша ағыны көрсеткіші автоматты түрде осындай көрсеткіш емес.</w:t>
      </w:r>
    </w:p>
    <w:p>
      <w:pPr>
        <w:ind w:firstLine="709"/>
        <w:jc w:val="both"/>
        <w:rPr>
          <w:szCs w:val="24"/>
        </w:rPr>
      </w:pPr>
      <w:r>
        <w:rPr>
          <w:rFonts w:ascii="Times New Roman" w:hAnsi="Times New Roman" w:cs="Times New Roman" w:eastAsia="Times New Roman"/>
          <w:sz w:val="24"/>
          <w:szCs w:val="24"/>
        </w:rPr>
        <w:t>Мысалы, ұйым 480 операциялық пайдаға 30 біржолғы шығысты қайта қосып, түзетілген нәтижені 510 деп жарияласа, пайдаланушыға осы 30-дың не екені түсіндірілуі тиіс. «Біржолғы» деген атау шығысты негізгі есептен алып тастауға өздігінен негіз бермейді. Талдаушы стандартты нәтижені де, түзетілген көрсеткішті де қатар бағалайды.</w:t>
      </w:r>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Жиі кездесетін қателер</w:t>
      </w:r>
    </w:p>
    <w:p>
      <w:pPr>
        <w:pStyle w:val="a0"/>
        <w:tabs>
          <w:tab w:val="left" w:pos="1134"/>
        </w:tabs>
        <w:ind w:firstLine="491"/>
        <w:jc w:val="both"/>
        <w:rPr>
          <w:szCs w:val="24"/>
        </w:rPr>
      </w:pPr>
      <w:r>
        <w:rPr>
          <w:rFonts w:ascii="Times New Roman" w:hAnsi="Times New Roman" w:cs="Times New Roman" w:eastAsia="Times New Roman"/>
          <w:sz w:val="24"/>
          <w:szCs w:val="24"/>
        </w:rPr>
        <w:t>Алынған авансты автоматты түрде кіріс деп тану.</w:t>
      </w:r>
    </w:p>
    <w:p>
      <w:pPr>
        <w:pStyle w:val="a0"/>
        <w:tabs>
          <w:tab w:val="left" w:pos="1134"/>
        </w:tabs>
        <w:ind w:firstLine="491"/>
        <w:jc w:val="both"/>
        <w:rPr>
          <w:szCs w:val="24"/>
        </w:rPr>
      </w:pPr>
      <w:r>
        <w:rPr>
          <w:rFonts w:ascii="Times New Roman" w:hAnsi="Times New Roman" w:cs="Times New Roman" w:eastAsia="Times New Roman"/>
          <w:sz w:val="24"/>
          <w:szCs w:val="24"/>
        </w:rPr>
        <w:t>Функцияға бөлінген шығынды сипаты бойынша тағы қосу.</w:t>
      </w:r>
    </w:p>
    <w:p>
      <w:pPr>
        <w:pStyle w:val="a0"/>
        <w:tabs>
          <w:tab w:val="left" w:pos="1134"/>
        </w:tabs>
        <w:ind w:firstLine="491"/>
        <w:jc w:val="both"/>
        <w:rPr>
          <w:szCs w:val="24"/>
        </w:rPr>
      </w:pPr>
      <w:r>
        <w:rPr>
          <w:rFonts w:ascii="Times New Roman" w:hAnsi="Times New Roman" w:cs="Times New Roman" w:eastAsia="Times New Roman"/>
          <w:sz w:val="24"/>
          <w:szCs w:val="24"/>
        </w:rPr>
        <w:t>Өзге жиынтық кірісті таза пайдаға араластыру.</w:t>
      </w:r>
    </w:p>
    <w:p>
      <w:pPr>
        <w:pStyle w:val="a0"/>
        <w:tabs>
          <w:tab w:val="left" w:pos="1134"/>
        </w:tabs>
        <w:ind w:firstLine="491"/>
        <w:jc w:val="both"/>
        <w:rPr>
          <w:szCs w:val="24"/>
        </w:rPr>
      </w:pPr>
      <w:r>
        <w:rPr>
          <w:rFonts w:ascii="Times New Roman" w:hAnsi="Times New Roman" w:cs="Times New Roman" w:eastAsia="Times New Roman"/>
          <w:sz w:val="24"/>
          <w:szCs w:val="24"/>
        </w:rPr>
        <w:t>Әр ұйымға бірдей санаттау үлгісін қолдану.</w:t>
      </w:r>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Бақылау сұрақтары</w:t>
      </w:r>
    </w:p>
    <w:p>
      <w:pPr>
        <w:spacing w:after="80"/>
        <w:ind w:left="170" w:firstLine="709"/>
        <w:jc w:val="both"/>
        <w:rPr>
          <w:szCs w:val="24"/>
        </w:rPr>
      </w:pPr>
      <w:r>
        <w:rPr>
          <w:rFonts w:ascii="Times New Roman" w:hAnsi="Times New Roman" w:cs="Times New Roman" w:eastAsia="Times New Roman"/>
          <w:sz w:val="24"/>
          <w:szCs w:val="24"/>
        </w:rPr>
        <w:t>1. Пайда мен ақша қалдығының айырмасы неде?</w:t>
      </w:r>
    </w:p>
    <w:p>
      <w:pPr>
        <w:spacing w:after="80"/>
        <w:ind w:left="170" w:firstLine="709"/>
        <w:jc w:val="both"/>
        <w:rPr>
          <w:szCs w:val="24"/>
        </w:rPr>
      </w:pPr>
      <w:r>
        <w:rPr>
          <w:rFonts w:ascii="Times New Roman" w:hAnsi="Times New Roman" w:cs="Times New Roman" w:eastAsia="Times New Roman"/>
          <w:sz w:val="24"/>
          <w:szCs w:val="24"/>
        </w:rPr>
        <w:t>2. Шығысты сипаты бойынша ұсыну нені түсіндіреді?</w:t>
      </w:r>
    </w:p>
    <w:p>
      <w:pPr>
        <w:spacing w:after="80"/>
        <w:ind w:left="170" w:firstLine="709"/>
        <w:jc w:val="both"/>
        <w:rPr>
          <w:szCs w:val="24"/>
        </w:rPr>
      </w:pPr>
      <w:r>
        <w:rPr>
          <w:rFonts w:ascii="Times New Roman" w:hAnsi="Times New Roman" w:cs="Times New Roman" w:eastAsia="Times New Roman"/>
          <w:sz w:val="24"/>
          <w:szCs w:val="24"/>
        </w:rPr>
        <w:t>3. Жалпы және таза маржа несімен ерекшеленеді?</w:t>
      </w:r>
    </w:p>
    <w:p>
      <w:pPr>
        <w:spacing w:after="80"/>
        <w:ind w:left="170" w:firstLine="709"/>
        <w:jc w:val="both"/>
        <w:rPr>
          <w:szCs w:val="24"/>
        </w:rPr>
      </w:pPr>
      <w:r>
        <w:rPr>
          <w:rFonts w:ascii="Times New Roman" w:hAnsi="Times New Roman" w:cs="Times New Roman" w:eastAsia="Times New Roman"/>
          <w:sz w:val="24"/>
          <w:szCs w:val="24"/>
        </w:rPr>
        <w:t>4. Қайта бағалау өсімі таза пайдаға әрдайым кіре ме?</w:t>
      </w:r>
    </w:p>
    <w:p>
      <w:pPr>
        <w:spacing w:after="80"/>
        <w:ind w:left="170" w:firstLine="709"/>
        <w:jc w:val="both"/>
        <w:rPr>
          <w:szCs w:val="24"/>
        </w:rPr>
      </w:pPr>
      <w:r>
        <w:rPr>
          <w:rFonts w:ascii="Times New Roman" w:hAnsi="Times New Roman" w:cs="Times New Roman" w:eastAsia="Times New Roman"/>
          <w:sz w:val="24"/>
          <w:szCs w:val="24"/>
        </w:rPr>
        <w:t>5. Түзетілген пайда көрсеткішін қалай тексеруге болады?</w:t>
      </w:r>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Өзіңізді тексеріңіз</w:t>
      </w:r>
    </w:p>
    <w:p>
      <w:pPr>
        <w:ind w:firstLine="709"/>
        <w:jc w:val="both"/>
        <w:rPr>
          <w:szCs w:val="24"/>
        </w:rPr>
      </w:pPr>
      <w:r>
        <w:rPr>
          <w:rFonts w:ascii="Times New Roman" w:hAnsi="Times New Roman" w:cs="Times New Roman" w:eastAsia="Times New Roman"/>
          <w:sz w:val="24"/>
          <w:szCs w:val="24"/>
        </w:rPr>
        <w:t>Кіріс 1 000, өзіндік құн 600, операциялық шығыс 250, пайыз 40, салық 22 болса, жалпы пайда 400, операциялық пайда 150, салыққа дейінгі пайда 110, таза пайда 88 болады. Ақша түсімін осы сандардан тікелей анықтау мүмкін емес.</w:t>
      </w:r>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Тақырып бойынша ұсынылатын әдебиеттер</w:t>
      </w:r>
    </w:p>
    <w:p>
      <w:pPr>
        <w:spacing w:after="60"/>
        <w:ind w:firstLine="709"/>
        <w:jc w:val="both"/>
        <w:rPr>
          <w:szCs w:val="24"/>
        </w:rPr>
      </w:pPr>
      <w:r>
        <w:rPr>
          <w:rFonts w:ascii="Times New Roman" w:hAnsi="Times New Roman" w:cs="Times New Roman" w:eastAsia="Times New Roman"/>
          <w:sz w:val="24"/>
          <w:szCs w:val="24"/>
        </w:rPr>
        <w:t>[Ә2] Нурсеитов, Э.О. МСФО в Казахстане: принципы перехода и применения / Э.О. Нурсеитов, Д.Э. Нурсеитов.- Изд. 2-е, доп. и перераб.- Алматы: LEM, 2013.- 388 с.</w:t>
      </w:r>
    </w:p>
    <w:p>
      <w:pPr>
        <w:spacing w:after="60"/>
        <w:ind w:firstLine="709"/>
        <w:jc w:val="both"/>
        <w:rPr>
          <w:szCs w:val="24"/>
        </w:rPr>
      </w:pPr>
      <w:r>
        <w:rPr>
          <w:rFonts w:ascii="Times New Roman" w:hAnsi="Times New Roman" w:cs="Times New Roman" w:eastAsia="Times New Roman"/>
          <w:sz w:val="24"/>
          <w:szCs w:val="24"/>
        </w:rPr>
        <w:t>[Ә3] Международные стандарты финансовой отчетности в ред. 2026 г.</w:t>
      </w:r>
    </w:p>
    <w:p>
      <w:pPr>
        <w:spacing w:after="60"/>
        <w:ind w:firstLine="709"/>
        <w:jc w:val="both"/>
        <w:rPr>
          <w:szCs w:val="24"/>
        </w:rPr>
      </w:pPr>
      <w:r>
        <w:rPr>
          <w:rFonts w:ascii="Times New Roman" w:hAnsi="Times New Roman" w:cs="Times New Roman" w:eastAsia="Times New Roman"/>
          <w:sz w:val="24"/>
          <w:szCs w:val="24"/>
        </w:rPr>
        <w:t xml:space="preserve">[Ә5] Селезнева, Н. Н. Анализ финансовой отчетности организации : учебное пособие для студентов вузов по специальности «Бухгалтерский учет, анализ и аудит», слушателей курсов по подготовке и переподготовке бухгалтеров и аудиторов / Н. Н. Селезнева, А. Ф. Ионова. — 3-е изд. — Москва : ЮНИТИ-ДАНА, 2023. — 583 c. — ISBN 978-5-238-01178-3. — Текст : электронный // Цифровой образовательный ресурс IPR SMART : [сайт]. </w:t>
      </w:r>
      <w:hyperlink r:id="rId14">
        <w:r>
          <w:rPr>
            <w:rFonts w:ascii="Times New Roman" w:hAnsi="Times New Roman" w:cs="Times New Roman" w:eastAsia="Times New Roman"/>
            <w:u w:val="single"/>
            <w:color w:val="000000"/>
            <w:sz w:val="24"/>
            <w:szCs w:val="24"/>
          </w:rPr>
          <w:t>Электрондық каталог</w:t>
        </w:r>
      </w:hyperlink>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Ресми және бастапқы дереккөздер</w:t>
      </w:r>
    </w:p>
    <w:p>
      <w:pPr>
        <w:spacing w:after="60"/>
        <w:ind w:firstLine="709"/>
        <w:jc w:val="both"/>
        <w:rPr>
          <w:szCs w:val="24"/>
        </w:rPr>
      </w:pPr>
      <w:r>
        <w:rPr>
          <w:rFonts w:ascii="Times New Roman" w:hAnsi="Times New Roman" w:cs="Times New Roman" w:eastAsia="Times New Roman"/>
          <w:sz w:val="24"/>
          <w:szCs w:val="24"/>
        </w:rPr>
        <w:t xml:space="preserve">[Н7] IFRS Foundation. IFRS 18 Presentation and Disclosure in Financial Statements. </w:t>
      </w:r>
      <w:hyperlink r:id="rId15">
        <w:r>
          <w:rPr>
            <w:rFonts w:ascii="Times New Roman" w:hAnsi="Times New Roman" w:cs="Times New Roman" w:eastAsia="Times New Roman"/>
            <w:u w:val="single"/>
            <w:color w:val="000000"/>
            <w:sz w:val="24"/>
            <w:szCs w:val="24"/>
          </w:rPr>
          <w:t>Дереккөзді ашу</w:t>
        </w:r>
      </w:hyperlink>
    </w:p>
    <w:p>
      <w:pPr>
        <w:spacing w:after="60"/>
        <w:ind w:firstLine="709"/>
        <w:jc w:val="both"/>
        <w:rPr>
          <w:szCs w:val="24"/>
        </w:rPr>
      </w:pPr>
      <w:r>
        <w:rPr>
          <w:rFonts w:ascii="Times New Roman" w:hAnsi="Times New Roman" w:cs="Times New Roman" w:eastAsia="Times New Roman"/>
          <w:sz w:val="24"/>
          <w:szCs w:val="24"/>
        </w:rPr>
        <w:t xml:space="preserve">[Н6] IFRS Foundation. IAS 1 Presentation of Financial Statements. </w:t>
      </w:r>
      <w:hyperlink r:id="rId16">
        <w:r>
          <w:rPr>
            <w:rFonts w:ascii="Times New Roman" w:hAnsi="Times New Roman" w:cs="Times New Roman" w:eastAsia="Times New Roman"/>
            <w:u w:val="single"/>
            <w:color w:val="000000"/>
            <w:sz w:val="24"/>
            <w:szCs w:val="24"/>
          </w:rPr>
          <w:t>Дереккөзді ашу</w:t>
        </w:r>
      </w:hyperlink>
    </w:p>
    <w:p>
      <w:pPr>
        <w:spacing w:after="60"/>
        <w:ind w:firstLine="709"/>
        <w:jc w:val="both"/>
        <w:rPr>
          <w:szCs w:val="24"/>
        </w:rPr>
      </w:pPr>
      <w:r>
        <w:rPr>
          <w:rFonts w:ascii="Times New Roman" w:hAnsi="Times New Roman" w:cs="Times New Roman" w:eastAsia="Times New Roman"/>
          <w:sz w:val="24"/>
          <w:szCs w:val="24"/>
        </w:rPr>
        <w:t xml:space="preserve">[Н8] IFRS Foundation. IFRS 18 Key terms. </w:t>
      </w:r>
      <w:hyperlink r:id="rId17">
        <w:r>
          <w:rPr>
            <w:rFonts w:ascii="Times New Roman" w:hAnsi="Times New Roman" w:cs="Times New Roman" w:eastAsia="Times New Roman"/>
            <w:u w:val="single"/>
            <w:color w:val="000000"/>
            <w:sz w:val="24"/>
            <w:szCs w:val="24"/>
          </w:rPr>
          <w:t>Дереккөзді ашу</w:t>
        </w:r>
      </w:hyperlink>
    </w:p>
    <w:sectPr w:rsidR="008832B7" w:rsidRPr="00285FFA" w:rsidSect="00034616">
      <w:footerReference w:type="default" r:id="rId11"/>
      <w:pgSz w:w="11906" w:h="16838"/>
      <w:pgMar w:top="1134" w:right="1134" w:bottom="1134" w:left="1304" w:header="454"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28C0" w:rsidRDefault="006828C0">
      <w:pPr>
        <w:spacing w:after="0" w:line="240" w:lineRule="auto"/>
      </w:pPr>
      <w:r>
        <w:separator/>
      </w:r>
    </w:p>
  </w:endnote>
  <w:endnote w:type="continuationSeparator" w:id="0">
    <w:p w:rsidR="006828C0" w:rsidRDefault="006828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32B7" w:rsidRDefault="006828C0">
    <w:pPr>
      <w:pStyle w:val="a7"/>
      <w:jc w:val="right"/>
    </w:pPr>
    <w:r>
      <w:fldChar w:fldCharType="begin"/>
    </w:r>
    <w:r>
      <w:instrText>PAGE</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28C0" w:rsidRDefault="006828C0">
      <w:pPr>
        <w:spacing w:after="0" w:line="240" w:lineRule="auto"/>
      </w:pPr>
      <w:r>
        <w:separator/>
      </w:r>
    </w:p>
  </w:footnote>
  <w:footnote w:type="continuationSeparator" w:id="0">
    <w:p w:rsidR="006828C0" w:rsidRDefault="006828C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083B0E"/>
    <w:rsid w:val="000A5FE7"/>
    <w:rsid w:val="0015074B"/>
    <w:rsid w:val="00226DD7"/>
    <w:rsid w:val="00285FFA"/>
    <w:rsid w:val="0029639D"/>
    <w:rsid w:val="00326F90"/>
    <w:rsid w:val="006828C0"/>
    <w:rsid w:val="008832B7"/>
    <w:rsid w:val="00AA1D8D"/>
    <w:rsid w:val="00B47730"/>
    <w:rsid w:val="00B93A4F"/>
    <w:rsid w:val="00CB0664"/>
    <w:rsid w:val="00E111E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B9CD36D"/>
  <w14:defaultImageDpi w14:val="300"/>
  <w15:docId w15:val="{993F3D0F-53E7-432A-AA21-12E8BE20E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pPr>
      <w:spacing w:after="100" w:line="264" w:lineRule="auto"/>
    </w:pPr>
    <w:rPr>
      <w:rFonts w:ascii="Times New Roman" w:eastAsia="Times New Roman" w:hAnsi="Times New Roman" w:cs="Times New Roman"/>
      <w:color w:val="000000"/>
      <w:sz w:val="24"/>
      <w:lang w:val="kk-KZ"/>
    </w:rPr>
  </w:style>
  <w:style w:type="paragraph" w:styleId="1">
    <w:name w:val="heading 1"/>
    <w:basedOn w:val="a1"/>
    <w:next w:val="a1"/>
    <w:link w:val="10"/>
    <w:uiPriority w:val="9"/>
    <w:qFormat/>
    <w:rsid w:val="00FC693F"/>
    <w:pPr>
      <w:keepNext/>
      <w:keepLines/>
      <w:spacing w:before="200"/>
      <w:outlineLvl w:val="0"/>
    </w:pPr>
    <w:rPr>
      <w:rFonts w:asciiTheme="majorHAnsi" w:eastAsiaTheme="majorEastAsia" w:hAnsiTheme="majorHAnsi" w:cstheme="majorBidi"/>
      <w:b/>
      <w:bCs/>
      <w:sz w:val="26"/>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200" w:line="240" w:lineRule="auto"/>
      <w:contextualSpacing/>
    </w:pPr>
    <w:rPr>
      <w:rFonts w:asciiTheme="majorHAnsi" w:eastAsiaTheme="majorEastAsia" w:hAnsiTheme="majorHAnsi" w:cstheme="majorBidi"/>
      <w:b/>
      <w:spacing w:val="5"/>
      <w:kern w:val="28"/>
      <w:sz w:val="34"/>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spacing w:val="15"/>
      <w:sz w:val="22"/>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spacing w:after="60"/>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spacing w:after="60"/>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prbookshop.ru/123545.htm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adilet.zan.kz/kaz/docs/Z070000234_" TargetMode="External"/><Relationship Id="rId4" Type="http://schemas.openxmlformats.org/officeDocument/2006/relationships/settings" Target="settings.xml"/><Relationship Id="rId9" Type="http://schemas.openxmlformats.org/officeDocument/2006/relationships/hyperlink" Target="https://www.ifrs.org/issued-standards/list-of-standards/conceptual-framework/" TargetMode="External"/><Relationship Id="rId14" Type="http://schemas.openxmlformats.org/officeDocument/2006/relationships/hyperlink" Target="https://www.iprbookshop.ru/142664.html" TargetMode="External"/><Relationship Id="rId15" Type="http://schemas.openxmlformats.org/officeDocument/2006/relationships/hyperlink" Target="https://www.ifrs.org/issued-standards/list-of-standards/ifrs-18-presentation-and-disclosure-in-financial-statements/" TargetMode="External"/><Relationship Id="rId16" Type="http://schemas.openxmlformats.org/officeDocument/2006/relationships/hyperlink" Target="https://www.ifrs.org/issued-standards/list-of-standards/ias-1-presentation-of-financial-statements/" TargetMode="External"/><Relationship Id="rId17" Type="http://schemas.openxmlformats.org/officeDocument/2006/relationships/hyperlink" Target="https://www.ifrs.org/supporting-implementation/supporting-materials-by-ifrs-standards/ifrs-18/key-term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D40BCA-429B-43FA-8F9E-8A87971482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983</Words>
  <Characters>5608</Characters>
  <Application>Microsoft Office Word</Application>
  <DocSecurity>0</DocSecurity>
  <Lines>46</Lines>
  <Paragraphs>13</Paragraphs>
  <ScaleCrop>false</ScaleCrop>
  <HeadingPairs>
    <vt:vector size="6" baseType="variant">
      <vt:variant>
        <vt:lpstr>Название</vt:lpstr>
      </vt:variant>
      <vt:variant>
        <vt:i4>1</vt:i4>
      </vt:variant>
      <vt:variant>
        <vt:lpstr>Заголовки</vt:lpstr>
      </vt:variant>
      <vt:variant>
        <vt:i4>10</vt:i4>
      </vt:variant>
      <vt:variant>
        <vt:lpstr>Title</vt:lpstr>
      </vt:variant>
      <vt:variant>
        <vt:i4>1</vt:i4>
      </vt:variant>
    </vt:vector>
  </HeadingPairs>
  <TitlesOfParts>
    <vt:vector size="12" baseType="lpstr">
      <vt:lpstr>1 дәріс Қаржылық есептіліктің тұжырымдамалық және нормативтік негіздері</vt:lpstr>
      <vt:lpstr>1 Қаржылық есептілік қандай сұрақтарға жауап береді</vt:lpstr>
      <vt:lpstr>2 Есептіліктің бес элементі</vt:lpstr>
      <vt:lpstr>3 Пайдалы ақпараттың сапасы</vt:lpstr>
      <vt:lpstr>4 Тану, бағалау және Қазақстандағы реттеу</vt:lpstr>
      <vt:lpstr>5 Операцияны түсіндіретін мысал</vt:lpstr>
      <vt:lpstr>Жиі кездесетін қателер</vt:lpstr>
      <vt:lpstr>Бақылау сұрақтары</vt:lpstr>
      <vt:lpstr>Өзіңізді тексеріңіз</vt:lpstr>
      <vt:lpstr>Тақырып бойынша ұсынылатын әдебиеттер</vt:lpstr>
      <vt:lpstr>Ресми және бастапқы дереккөздер</vt:lpstr>
      <vt:lpstr/>
    </vt:vector>
  </TitlesOfParts>
  <Manager/>
  <Company/>
  <LinksUpToDate>false</LinksUpToDate>
  <CharactersWithSpaces>6578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Пайда немесе залал және өзге жиынтық кіріс туралы есеп</dc:title>
  <dc:subject>Қаржылық есептілікті жасау және талдау</dc:subject>
  <dc:creator>Гульжан Байтикенова</dc:creator>
  <cp:keywords/>
  <dc:description>generated by python-docx</dc:description>
  <cp:lastModifiedBy>Гульжан Байтикенова</cp:lastModifiedBy>
  <cp:revision>3</cp:revision>
  <dcterms:created xsi:type="dcterms:W3CDTF">2026-10-21T06:13:00Z</dcterms:created>
  <dcterms:modified xsi:type="dcterms:W3CDTF">2026-10-21T06:15:00Z</dcterms:modified>
  <cp:category/>
</cp:coreProperties>
</file>