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5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Қаржылық жағдай туралы есеп</w:t>
      </w:r>
    </w:p>
    <w:p>
      <w:pPr>
        <w:spacing w:after="80"/>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Активтер мен міндеттемелерді дұрыс жіктеу, баланс баптарын қалыптастыру және баланстық теңдіктің экономикалық мағынасын түсіндіру.</w:t>
      </w:r>
    </w:p>
    <w:p>
      <w:pPr>
        <w:spacing w:after="80"/>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Баланс кәсіпорын туралы нені көрсетеді; Қысқа және ұзақ мерзімді активтер; Міндеттемелерді жіктеу; Баптарды бағалау және өзара есепке жатқызу; Баланс құрастыру мысалы; Өтімділік ретімен ұсыну.</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Баланс кәсіпорын туралы нені көрсетеді</w:t>
      </w:r>
    </w:p>
    <w:p>
      <w:pPr>
        <w:spacing w:after="80"/>
        <w:ind w:firstLine="709"/>
        <w:jc w:val="both"/>
        <w:rPr>
          <w:szCs w:val="24"/>
        </w:rPr>
      </w:pPr>
      <w:r>
        <w:rPr>
          <w:rFonts w:ascii="Times New Roman" w:hAnsi="Times New Roman" w:cs="Times New Roman" w:eastAsia="Times New Roman"/>
          <w:sz w:val="24"/>
          <w:szCs w:val="24"/>
        </w:rPr>
        <w:t>Қаржылық жағдай туралы есепті күнделікті тілде баланс деп атайды. Оның активтер бөлігі ресурстарды, ал міндеттемелер мен капитал бөлігі сол ресурстардың қандай көздермен қаржыланғанын көрсетеді. Баланс кәсіпорынның сатылу бағасы емес: баптар әртүрлі бағалау негізімен есептелуі мүмкін, ал ұйымның барлық құндылығы жеке актив ретінде таныла бермейді.</w:t>
      </w:r>
    </w:p>
    <w:p>
      <w:pPr>
        <w:spacing w:after="80"/>
        <w:ind w:firstLine="709"/>
        <w:jc w:val="both"/>
        <w:rPr>
          <w:szCs w:val="24"/>
        </w:rPr>
      </w:pPr>
      <w:r>
        <w:rPr>
          <w:rFonts w:ascii="Times New Roman" w:hAnsi="Times New Roman" w:cs="Times New Roman" w:eastAsia="Times New Roman"/>
          <w:sz w:val="24"/>
          <w:szCs w:val="24"/>
        </w:rPr>
        <w:t>Баланс теңдігі бухгалтерлік бақылауға қажет, бірақ оның орындалуы кәсіпорынның төлем қабілетті екенін дәлелдемейді. Мысалы, активтің көп бөлігі баяу сатылатын қорда тұрса, жақын күндегі қарызды өтеуге ақша жетпеуі мүмкін. Сондықтан жіктеу мен ескертпелер теңдік сияқты маңызды.</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Қысқа және ұзақ мерзімді активтер</w:t>
      </w:r>
    </w:p>
    <w:p>
      <w:pPr>
        <w:spacing w:after="80"/>
        <w:ind w:firstLine="709"/>
        <w:jc w:val="both"/>
        <w:rPr>
          <w:szCs w:val="24"/>
        </w:rPr>
      </w:pPr>
      <w:r>
        <w:rPr>
          <w:rFonts w:ascii="Times New Roman" w:hAnsi="Times New Roman" w:cs="Times New Roman" w:eastAsia="Times New Roman"/>
          <w:sz w:val="24"/>
          <w:szCs w:val="24"/>
        </w:rPr>
        <w:t>Актив қалыпты операциялық циклде өткізіледі немесе пайдаланылады деп күтілсе, сауда мақсатында ұсталса, есепті күннен кейінгі он екі айда өткізілуі күтілсе немесе тиісті шектеулері жоқ ақша мен ақша баламасы болса, қысқа мерзімді актив ретінде қарастырылады. Қалғандары ұзақ мерзімдіге жатады. Операциялық цикл — ресурсты сатып алудан өнім сатылып, ақша алынғанға дейінгі уақыт.</w:t>
      </w:r>
    </w:p>
    <w:p>
      <w:pPr>
        <w:spacing w:after="80"/>
        <w:ind w:firstLine="709"/>
        <w:jc w:val="both"/>
        <w:rPr>
          <w:szCs w:val="24"/>
        </w:rPr>
      </w:pPr>
      <w:r>
        <w:rPr>
          <w:rFonts w:ascii="Times New Roman" w:hAnsi="Times New Roman" w:cs="Times New Roman" w:eastAsia="Times New Roman"/>
          <w:sz w:val="24"/>
          <w:szCs w:val="24"/>
        </w:rPr>
        <w:t>«Он екі айдан ұзақ болса, міндетті түрде ұзақ мерзімді» деген қарапайым ереже әрдайым дұрыс емес. Мысалы, қалыпты өндірістік циклі он сегіз ай болатын ұйымдағы сол циклде сатылатын қор қысқа мерзімді актив болуы мүмкін. Жіктеу экономикалық айналымды көрсетуі тиіс. [Н6]</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Актив</w:t>
            </w:r>
          </w:p>
        </w:tc>
        <w:tc>
          <w:tcPr>
            <w:tcW w:type="dxa" w:w="3219"/>
            <w:vAlign w:val="center"/>
            <w:shd w:fill="E9EEF4"/>
          </w:tcPr>
          <w:p>
            <w:pPr>
              <w:spacing w:line="252" w:lineRule="auto" w:after="20"/>
            </w:pPr>
            <w:r>
              <w:rPr>
                <w:rFonts w:ascii="Times New Roman" w:hAnsi="Times New Roman" w:cs="Times New Roman" w:eastAsia="Times New Roman"/>
                <w:b/>
                <w:sz w:val="24"/>
                <w:szCs w:val="24"/>
              </w:rPr>
              <w:t>Әдеттегі жіктеу</w:t>
            </w:r>
          </w:p>
        </w:tc>
        <w:tc>
          <w:tcPr>
            <w:tcW w:type="dxa" w:w="3219"/>
            <w:vAlign w:val="center"/>
            <w:shd w:fill="E9EEF4"/>
          </w:tcPr>
          <w:p>
            <w:pPr>
              <w:spacing w:line="252" w:lineRule="auto" w:after="20"/>
            </w:pPr>
            <w:r>
              <w:rPr>
                <w:rFonts w:ascii="Times New Roman" w:hAnsi="Times New Roman" w:cs="Times New Roman" w:eastAsia="Times New Roman"/>
                <w:b/>
                <w:sz w:val="24"/>
                <w:szCs w:val="24"/>
              </w:rPr>
              <w:t>Нені нақтылау қажет</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Ақша</w:t>
            </w:r>
          </w:p>
        </w:tc>
        <w:tc>
          <w:tcPr>
            <w:tcW w:type="dxa" w:w="3219"/>
            <w:vAlign w:val="center"/>
          </w:tcPr>
          <w:p>
            <w:pPr>
              <w:spacing w:line="252" w:lineRule="auto" w:after="20"/>
            </w:pPr>
            <w:r>
              <w:rPr>
                <w:rFonts w:ascii="Times New Roman" w:hAnsi="Times New Roman" w:cs="Times New Roman" w:eastAsia="Times New Roman"/>
                <w:sz w:val="24"/>
                <w:szCs w:val="24"/>
              </w:rPr>
              <w:t>Қысқа мерзімді</w:t>
            </w:r>
          </w:p>
        </w:tc>
        <w:tc>
          <w:tcPr>
            <w:tcW w:type="dxa" w:w="3219"/>
            <w:vAlign w:val="center"/>
          </w:tcPr>
          <w:p>
            <w:pPr>
              <w:spacing w:line="252" w:lineRule="auto" w:after="20"/>
            </w:pPr>
            <w:r>
              <w:rPr>
                <w:rFonts w:ascii="Times New Roman" w:hAnsi="Times New Roman" w:cs="Times New Roman" w:eastAsia="Times New Roman"/>
                <w:sz w:val="24"/>
                <w:szCs w:val="24"/>
              </w:rPr>
              <w:t>Пайдалану шектеуі бар ма</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Сауда дебиторлық берешегі</w:t>
            </w:r>
          </w:p>
        </w:tc>
        <w:tc>
          <w:tcPr>
            <w:tcW w:type="dxa" w:w="3219"/>
            <w:vAlign w:val="center"/>
          </w:tcPr>
          <w:p>
            <w:pPr>
              <w:spacing w:line="252" w:lineRule="auto" w:after="20"/>
            </w:pPr>
            <w:r>
              <w:rPr>
                <w:rFonts w:ascii="Times New Roman" w:hAnsi="Times New Roman" w:cs="Times New Roman" w:eastAsia="Times New Roman"/>
                <w:sz w:val="24"/>
                <w:szCs w:val="24"/>
              </w:rPr>
              <w:t>Операциялық циклге қарай</w:t>
            </w:r>
          </w:p>
        </w:tc>
        <w:tc>
          <w:tcPr>
            <w:tcW w:type="dxa" w:w="3219"/>
            <w:vAlign w:val="center"/>
          </w:tcPr>
          <w:p>
            <w:pPr>
              <w:spacing w:line="252" w:lineRule="auto" w:after="20"/>
            </w:pPr>
            <w:r>
              <w:rPr>
                <w:rFonts w:ascii="Times New Roman" w:hAnsi="Times New Roman" w:cs="Times New Roman" w:eastAsia="Times New Roman"/>
                <w:sz w:val="24"/>
                <w:szCs w:val="24"/>
              </w:rPr>
              <w:t>Өндірілу мерзімі мен сапасы</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Қор</w:t>
            </w:r>
          </w:p>
        </w:tc>
        <w:tc>
          <w:tcPr>
            <w:tcW w:type="dxa" w:w="3219"/>
            <w:vAlign w:val="center"/>
          </w:tcPr>
          <w:p>
            <w:pPr>
              <w:spacing w:line="252" w:lineRule="auto" w:after="20"/>
            </w:pPr>
            <w:r>
              <w:rPr>
                <w:rFonts w:ascii="Times New Roman" w:hAnsi="Times New Roman" w:cs="Times New Roman" w:eastAsia="Times New Roman"/>
                <w:sz w:val="24"/>
                <w:szCs w:val="24"/>
              </w:rPr>
              <w:t>Әдетте қысқа мерзімді</w:t>
            </w:r>
          </w:p>
        </w:tc>
        <w:tc>
          <w:tcPr>
            <w:tcW w:type="dxa" w:w="3219"/>
            <w:vAlign w:val="center"/>
          </w:tcPr>
          <w:p>
            <w:pPr>
              <w:spacing w:line="252" w:lineRule="auto" w:after="20"/>
            </w:pPr>
            <w:r>
              <w:rPr>
                <w:rFonts w:ascii="Times New Roman" w:hAnsi="Times New Roman" w:cs="Times New Roman" w:eastAsia="Times New Roman"/>
                <w:sz w:val="24"/>
                <w:szCs w:val="24"/>
              </w:rPr>
              <w:t>Цикл, өтімділік, құнсыздану</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Өндірістік жабдық</w:t>
            </w:r>
          </w:p>
        </w:tc>
        <w:tc>
          <w:tcPr>
            <w:tcW w:type="dxa" w:w="3219"/>
            <w:vAlign w:val="center"/>
          </w:tcPr>
          <w:p>
            <w:pPr>
              <w:spacing w:line="252" w:lineRule="auto" w:after="20"/>
            </w:pPr>
            <w:r>
              <w:rPr>
                <w:rFonts w:ascii="Times New Roman" w:hAnsi="Times New Roman" w:cs="Times New Roman" w:eastAsia="Times New Roman"/>
                <w:sz w:val="24"/>
                <w:szCs w:val="24"/>
              </w:rPr>
              <w:t>Ұзақ мерзімді</w:t>
            </w:r>
          </w:p>
        </w:tc>
        <w:tc>
          <w:tcPr>
            <w:tcW w:type="dxa" w:w="3219"/>
            <w:vAlign w:val="center"/>
          </w:tcPr>
          <w:p>
            <w:pPr>
              <w:spacing w:line="252" w:lineRule="auto" w:after="20"/>
            </w:pPr>
            <w:r>
              <w:rPr>
                <w:rFonts w:ascii="Times New Roman" w:hAnsi="Times New Roman" w:cs="Times New Roman" w:eastAsia="Times New Roman"/>
                <w:sz w:val="24"/>
                <w:szCs w:val="24"/>
              </w:rPr>
              <w:t>Қызметте пайдалану мақсаты</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Ұзақ мерзімді инвестиция</w:t>
            </w:r>
          </w:p>
        </w:tc>
        <w:tc>
          <w:tcPr>
            <w:tcW w:type="dxa" w:w="3219"/>
            <w:vAlign w:val="center"/>
          </w:tcPr>
          <w:p>
            <w:pPr>
              <w:spacing w:line="252" w:lineRule="auto" w:after="20"/>
            </w:pPr>
            <w:r>
              <w:rPr>
                <w:rFonts w:ascii="Times New Roman" w:hAnsi="Times New Roman" w:cs="Times New Roman" w:eastAsia="Times New Roman"/>
                <w:sz w:val="24"/>
                <w:szCs w:val="24"/>
              </w:rPr>
              <w:t>Ұзақ мерзімді</w:t>
            </w:r>
          </w:p>
        </w:tc>
        <w:tc>
          <w:tcPr>
            <w:tcW w:type="dxa" w:w="3219"/>
            <w:vAlign w:val="center"/>
          </w:tcPr>
          <w:p>
            <w:pPr>
              <w:spacing w:line="252" w:lineRule="auto" w:after="20"/>
            </w:pPr>
            <w:r>
              <w:rPr>
                <w:rFonts w:ascii="Times New Roman" w:hAnsi="Times New Roman" w:cs="Times New Roman" w:eastAsia="Times New Roman"/>
                <w:sz w:val="24"/>
                <w:szCs w:val="24"/>
              </w:rPr>
              <w:t>Құралдың сипаты және өткізу жоспары</w:t>
            </w:r>
          </w:p>
        </w:tc>
      </w:tr>
    </w:tbl>
    <w:p>
      <w:pPr>
        <w:spacing w:after="80"/>
        <w:ind w:firstLine="709"/>
        <w:jc w:val="both"/>
        <w:rPr>
          <w:szCs w:val="24"/>
        </w:rPr>
      </w:pP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Міндеттемелерді жіктеу</w:t>
      </w:r>
    </w:p>
    <w:p>
      <w:pPr>
        <w:spacing w:after="80"/>
        <w:ind w:firstLine="709"/>
        <w:jc w:val="both"/>
        <w:rPr>
          <w:szCs w:val="24"/>
        </w:rPr>
      </w:pPr>
      <w:r>
        <w:rPr>
          <w:rFonts w:ascii="Times New Roman" w:hAnsi="Times New Roman" w:cs="Times New Roman" w:eastAsia="Times New Roman"/>
          <w:sz w:val="24"/>
          <w:szCs w:val="24"/>
        </w:rPr>
        <w:t>Міндеттеме қалыпты операциялық циклде өтелсе, сауда мақсатында ұсталса, он екі ай ішінде өтелуге тиіс болса немесе есепті күнде оны кемінде он екі айға кейінге қалдыру құқығы болмаса, қысқа мерзімді болып қаралады. Басшылықтың «қайта қаржыландырамыз» деген ниеті өздігінен жеткіліксіз: есепті күндегі құқық пен шарт талаптары қаралады.</w:t>
      </w:r>
    </w:p>
    <w:p>
      <w:pPr>
        <w:spacing w:after="80"/>
        <w:ind w:firstLine="709"/>
        <w:jc w:val="both"/>
        <w:rPr>
          <w:szCs w:val="24"/>
        </w:rPr>
      </w:pPr>
      <w:r>
        <w:rPr>
          <w:rFonts w:ascii="Times New Roman" w:hAnsi="Times New Roman" w:cs="Times New Roman" w:eastAsia="Times New Roman"/>
          <w:sz w:val="24"/>
          <w:szCs w:val="24"/>
        </w:rPr>
        <w:t>Ұзақ мерзімді несиенің келесі жылы төленетін бөлігі қысқа мерзімді құрамға бөлінеді. Ковенанттары бар қарызда талаптың қай күні орындалуы керектігі маңызды. Есепті күнге дейін не сол күнде орындалатын талап пен тек болашақта тексерілетін талапты ажырату керек. Жіктеуге әсер етпейтін болашақ талаптың өзі маңызды тәуекелді ашып көрсетуді қажет етуі мүмкін. [Н7]</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Баптарды бағалау және өзара есепке жатқызу</w:t>
      </w:r>
    </w:p>
    <w:p>
      <w:pPr>
        <w:spacing w:after="80"/>
        <w:ind w:firstLine="709"/>
        <w:jc w:val="both"/>
        <w:rPr>
          <w:szCs w:val="24"/>
        </w:rPr>
      </w:pPr>
      <w:r>
        <w:rPr>
          <w:rFonts w:ascii="Times New Roman" w:hAnsi="Times New Roman" w:cs="Times New Roman" w:eastAsia="Times New Roman"/>
          <w:sz w:val="24"/>
          <w:szCs w:val="24"/>
        </w:rPr>
        <w:t>Қор өзіндік құн мен таза өткізу құнының төменгісімен бағаланады. Егер қор 650 мың теңгеге есепте тұрса, бірақ оны өткізу нәтижесінде тек 600 мың теңге алынатыны күтілсе, тиісті төмендету қажет. Бұл ақша шықпаса да актив пен пайдаға әсер етеді. [Н4]</w:t>
      </w:r>
    </w:p>
    <w:p>
      <w:pPr>
        <w:spacing w:after="80"/>
        <w:ind w:firstLine="709"/>
        <w:jc w:val="both"/>
        <w:rPr>
          <w:szCs w:val="24"/>
        </w:rPr>
      </w:pPr>
      <w:r>
        <w:rPr>
          <w:rFonts w:ascii="Times New Roman" w:hAnsi="Times New Roman" w:cs="Times New Roman" w:eastAsia="Times New Roman"/>
          <w:sz w:val="24"/>
          <w:szCs w:val="24"/>
        </w:rPr>
        <w:t>Дебиторлық берешек есепте оның өтелу тәуекелін ескерген сомамен көрінуі мүмкін. Негізгі құралдың бастапқы құнынан жинақталған амортизация мен құнсыздану шегеріледі немесе тиісті стандарт рұқсат еткен өзге модель қолданылады. Әр баптың бағалау негізі бірдей емес екенін талдаушы білуі тиіс.</w:t>
      </w:r>
    </w:p>
    <w:p>
      <w:pPr>
        <w:spacing w:after="80"/>
        <w:ind w:firstLine="709"/>
        <w:jc w:val="both"/>
        <w:rPr>
          <w:szCs w:val="24"/>
        </w:rPr>
      </w:pPr>
      <w:r>
        <w:rPr>
          <w:rFonts w:ascii="Times New Roman" w:hAnsi="Times New Roman" w:cs="Times New Roman" w:eastAsia="Times New Roman"/>
          <w:sz w:val="24"/>
          <w:szCs w:val="24"/>
        </w:rPr>
        <w:t>Актив пен міндеттемені бір контрагентке қатысты болғаны үшін автоматты түрде өзара шегеруге болмайды. Мұндай ұсынуға нақты стандарт рұқсат беруі не талап етуі керек. Әйтпесе ұйымның ресурстары мен тәуекелдері жасырылуы мүмкін.</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Баланс құрастыру мысалы</w:t>
      </w:r>
    </w:p>
    <w:p>
      <w:pPr>
        <w:spacing w:after="80"/>
        <w:ind w:firstLine="709"/>
        <w:jc w:val="both"/>
        <w:rPr>
          <w:szCs w:val="24"/>
        </w:rPr>
      </w:pPr>
      <w:r>
        <w:rPr>
          <w:rFonts w:ascii="Times New Roman" w:hAnsi="Times New Roman" w:cs="Times New Roman" w:eastAsia="Times New Roman"/>
          <w:sz w:val="24"/>
          <w:szCs w:val="24"/>
        </w:rPr>
        <w:t>«АрнаӨндіріс» кәсіпорнының оқу деректері төменде берілген. Барлық сома мың теңгемен көрсетілген. Дебиторлық берешек пен негізгі құралдар тиісті түзетулерден кейінгі таза сомалар болып қабылданады.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Бап</w:t>
            </w:r>
          </w:p>
        </w:tc>
        <w:tc>
          <w:tcPr>
            <w:tcW w:type="dxa" w:w="3219"/>
            <w:vAlign w:val="center"/>
            <w:shd w:fill="E9EEF4"/>
          </w:tcPr>
          <w:p>
            <w:pPr>
              <w:spacing w:line="252" w:lineRule="auto" w:after="20"/>
            </w:pPr>
            <w:r>
              <w:rPr>
                <w:rFonts w:ascii="Times New Roman" w:hAnsi="Times New Roman" w:cs="Times New Roman" w:eastAsia="Times New Roman"/>
                <w:b/>
                <w:sz w:val="24"/>
                <w:szCs w:val="24"/>
              </w:rPr>
              <w:t>2026 жылдың соңы</w:t>
            </w:r>
          </w:p>
        </w:tc>
        <w:tc>
          <w:tcPr>
            <w:tcW w:type="dxa" w:w="3219"/>
            <w:vAlign w:val="center"/>
            <w:shd w:fill="E9EEF4"/>
          </w:tcPr>
          <w:p>
            <w:pPr>
              <w:spacing w:line="252" w:lineRule="auto" w:after="20"/>
            </w:pPr>
            <w:r>
              <w:rPr>
                <w:rFonts w:ascii="Times New Roman" w:hAnsi="Times New Roman" w:cs="Times New Roman" w:eastAsia="Times New Roman"/>
                <w:b/>
                <w:sz w:val="24"/>
                <w:szCs w:val="24"/>
              </w:rPr>
              <w:t>2027 жылдың соңы</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Ақша</w:t>
            </w:r>
          </w:p>
        </w:tc>
        <w:tc>
          <w:tcPr>
            <w:tcW w:type="dxa" w:w="3219"/>
            <w:vAlign w:val="center"/>
          </w:tcPr>
          <w:p>
            <w:pPr>
              <w:spacing w:line="252" w:lineRule="auto" w:after="20"/>
              <w:jc w:val="center"/>
            </w:pPr>
            <w:r>
              <w:rPr>
                <w:rFonts w:ascii="Times New Roman" w:hAnsi="Times New Roman" w:cs="Times New Roman" w:eastAsia="Times New Roman"/>
                <w:sz w:val="24"/>
                <w:szCs w:val="24"/>
              </w:rPr>
              <w:t>200</w:t>
            </w:r>
          </w:p>
        </w:tc>
        <w:tc>
          <w:tcPr>
            <w:tcW w:type="dxa" w:w="3219"/>
            <w:vAlign w:val="center"/>
          </w:tcPr>
          <w:p>
            <w:pPr>
              <w:spacing w:line="252" w:lineRule="auto" w:after="20"/>
              <w:jc w:val="center"/>
            </w:pPr>
            <w:r>
              <w:rPr>
                <w:rFonts w:ascii="Times New Roman" w:hAnsi="Times New Roman" w:cs="Times New Roman" w:eastAsia="Times New Roman"/>
                <w:sz w:val="24"/>
                <w:szCs w:val="24"/>
              </w:rPr>
              <w:t>240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Дебиторлық берешек</w:t>
            </w:r>
          </w:p>
        </w:tc>
        <w:tc>
          <w:tcPr>
            <w:tcW w:type="dxa" w:w="3219"/>
            <w:vAlign w:val="center"/>
          </w:tcPr>
          <w:p>
            <w:pPr>
              <w:spacing w:line="252" w:lineRule="auto" w:after="20"/>
              <w:jc w:val="center"/>
            </w:pPr>
            <w:r>
              <w:rPr>
                <w:rFonts w:ascii="Times New Roman" w:hAnsi="Times New Roman" w:cs="Times New Roman" w:eastAsia="Times New Roman"/>
                <w:sz w:val="24"/>
                <w:szCs w:val="24"/>
              </w:rPr>
              <w:t>300</w:t>
            </w:r>
          </w:p>
        </w:tc>
        <w:tc>
          <w:tcPr>
            <w:tcW w:type="dxa" w:w="3219"/>
            <w:vAlign w:val="center"/>
          </w:tcPr>
          <w:p>
            <w:pPr>
              <w:spacing w:line="252" w:lineRule="auto" w:after="20"/>
              <w:jc w:val="center"/>
            </w:pPr>
            <w:r>
              <w:rPr>
                <w:rFonts w:ascii="Times New Roman" w:hAnsi="Times New Roman" w:cs="Times New Roman" w:eastAsia="Times New Roman"/>
                <w:sz w:val="24"/>
                <w:szCs w:val="24"/>
              </w:rPr>
              <w:t>400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Қор</w:t>
            </w:r>
          </w:p>
        </w:tc>
        <w:tc>
          <w:tcPr>
            <w:tcW w:type="dxa" w:w="3219"/>
            <w:vAlign w:val="center"/>
          </w:tcPr>
          <w:p>
            <w:pPr>
              <w:spacing w:line="252" w:lineRule="auto" w:after="20"/>
              <w:jc w:val="center"/>
            </w:pPr>
            <w:r>
              <w:rPr>
                <w:rFonts w:ascii="Times New Roman" w:hAnsi="Times New Roman" w:cs="Times New Roman" w:eastAsia="Times New Roman"/>
                <w:sz w:val="24"/>
                <w:szCs w:val="24"/>
              </w:rPr>
              <w:t>500</w:t>
            </w:r>
          </w:p>
        </w:tc>
        <w:tc>
          <w:tcPr>
            <w:tcW w:type="dxa" w:w="3219"/>
            <w:vAlign w:val="center"/>
          </w:tcPr>
          <w:p>
            <w:pPr>
              <w:spacing w:line="252" w:lineRule="auto" w:after="20"/>
              <w:jc w:val="center"/>
            </w:pPr>
            <w:r>
              <w:rPr>
                <w:rFonts w:ascii="Times New Roman" w:hAnsi="Times New Roman" w:cs="Times New Roman" w:eastAsia="Times New Roman"/>
                <w:sz w:val="24"/>
                <w:szCs w:val="24"/>
              </w:rPr>
              <w:t>600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Қысқа мерзімді активтер</w:t>
            </w:r>
          </w:p>
        </w:tc>
        <w:tc>
          <w:tcPr>
            <w:tcW w:type="dxa" w:w="3219"/>
            <w:vAlign w:val="center"/>
          </w:tcPr>
          <w:p>
            <w:pPr>
              <w:spacing w:line="252" w:lineRule="auto" w:after="20"/>
              <w:jc w:val="center"/>
            </w:pPr>
            <w:r>
              <w:rPr>
                <w:rFonts w:ascii="Times New Roman" w:hAnsi="Times New Roman" w:cs="Times New Roman" w:eastAsia="Times New Roman"/>
                <w:sz w:val="24"/>
                <w:szCs w:val="24"/>
              </w:rPr>
              <w:t>1 000</w:t>
            </w:r>
          </w:p>
        </w:tc>
        <w:tc>
          <w:tcPr>
            <w:tcW w:type="dxa" w:w="3219"/>
            <w:vAlign w:val="center"/>
          </w:tcPr>
          <w:p>
            <w:pPr>
              <w:spacing w:line="252" w:lineRule="auto" w:after="20"/>
              <w:jc w:val="center"/>
            </w:pPr>
            <w:r>
              <w:rPr>
                <w:rFonts w:ascii="Times New Roman" w:hAnsi="Times New Roman" w:cs="Times New Roman" w:eastAsia="Times New Roman"/>
                <w:sz w:val="24"/>
                <w:szCs w:val="24"/>
              </w:rPr>
              <w:t>1 240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Негізгі құралдар</w:t>
            </w:r>
          </w:p>
        </w:tc>
        <w:tc>
          <w:tcPr>
            <w:tcW w:type="dxa" w:w="3219"/>
            <w:vAlign w:val="center"/>
          </w:tcPr>
          <w:p>
            <w:pPr>
              <w:spacing w:line="252" w:lineRule="auto" w:after="20"/>
              <w:jc w:val="center"/>
            </w:pPr>
            <w:r>
              <w:rPr>
                <w:rFonts w:ascii="Times New Roman" w:hAnsi="Times New Roman" w:cs="Times New Roman" w:eastAsia="Times New Roman"/>
                <w:sz w:val="24"/>
                <w:szCs w:val="24"/>
              </w:rPr>
              <w:t>1 000</w:t>
            </w:r>
          </w:p>
        </w:tc>
        <w:tc>
          <w:tcPr>
            <w:tcW w:type="dxa" w:w="3219"/>
            <w:vAlign w:val="center"/>
          </w:tcPr>
          <w:p>
            <w:pPr>
              <w:spacing w:line="252" w:lineRule="auto" w:after="20"/>
              <w:jc w:val="center"/>
            </w:pPr>
            <w:r>
              <w:rPr>
                <w:rFonts w:ascii="Times New Roman" w:hAnsi="Times New Roman" w:cs="Times New Roman" w:eastAsia="Times New Roman"/>
                <w:sz w:val="24"/>
                <w:szCs w:val="24"/>
              </w:rPr>
              <w:t>1 260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Барлық активтер</w:t>
            </w:r>
          </w:p>
        </w:tc>
        <w:tc>
          <w:tcPr>
            <w:tcW w:type="dxa" w:w="3219"/>
            <w:vAlign w:val="center"/>
          </w:tcPr>
          <w:p>
            <w:pPr>
              <w:spacing w:line="252" w:lineRule="auto" w:after="20"/>
              <w:jc w:val="center"/>
            </w:pPr>
            <w:r>
              <w:rPr>
                <w:rFonts w:ascii="Times New Roman" w:hAnsi="Times New Roman" w:cs="Times New Roman" w:eastAsia="Times New Roman"/>
                <w:sz w:val="24"/>
                <w:szCs w:val="24"/>
              </w:rPr>
              <w:t>2 000</w:t>
            </w:r>
          </w:p>
        </w:tc>
        <w:tc>
          <w:tcPr>
            <w:tcW w:type="dxa" w:w="3219"/>
            <w:vAlign w:val="center"/>
          </w:tcPr>
          <w:p>
            <w:pPr>
              <w:spacing w:line="252" w:lineRule="auto" w:after="20"/>
              <w:jc w:val="center"/>
            </w:pPr>
            <w:r>
              <w:rPr>
                <w:rFonts w:ascii="Times New Roman" w:hAnsi="Times New Roman" w:cs="Times New Roman" w:eastAsia="Times New Roman"/>
                <w:sz w:val="24"/>
                <w:szCs w:val="24"/>
              </w:rPr>
              <w:t>2 500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Жеткізушілерге берешек</w:t>
            </w:r>
          </w:p>
        </w:tc>
        <w:tc>
          <w:tcPr>
            <w:tcW w:type="dxa" w:w="3219"/>
            <w:vAlign w:val="center"/>
          </w:tcPr>
          <w:p>
            <w:pPr>
              <w:spacing w:line="252" w:lineRule="auto" w:after="20"/>
              <w:jc w:val="center"/>
            </w:pPr>
            <w:r>
              <w:rPr>
                <w:rFonts w:ascii="Times New Roman" w:hAnsi="Times New Roman" w:cs="Times New Roman" w:eastAsia="Times New Roman"/>
                <w:sz w:val="24"/>
                <w:szCs w:val="24"/>
              </w:rPr>
              <w:t>250</w:t>
            </w:r>
          </w:p>
        </w:tc>
        <w:tc>
          <w:tcPr>
            <w:tcW w:type="dxa" w:w="3219"/>
            <w:vAlign w:val="center"/>
          </w:tcPr>
          <w:p>
            <w:pPr>
              <w:spacing w:line="252" w:lineRule="auto" w:after="20"/>
              <w:jc w:val="center"/>
            </w:pPr>
            <w:r>
              <w:rPr>
                <w:rFonts w:ascii="Times New Roman" w:hAnsi="Times New Roman" w:cs="Times New Roman" w:eastAsia="Times New Roman"/>
                <w:sz w:val="24"/>
                <w:szCs w:val="24"/>
              </w:rPr>
              <w:t>300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Қысқа мерзімді несие</w:t>
            </w:r>
          </w:p>
        </w:tc>
        <w:tc>
          <w:tcPr>
            <w:tcW w:type="dxa" w:w="3219"/>
            <w:vAlign w:val="center"/>
          </w:tcPr>
          <w:p>
            <w:pPr>
              <w:spacing w:line="252" w:lineRule="auto" w:after="20"/>
              <w:jc w:val="center"/>
            </w:pPr>
            <w:r>
              <w:rPr>
                <w:rFonts w:ascii="Times New Roman" w:hAnsi="Times New Roman" w:cs="Times New Roman" w:eastAsia="Times New Roman"/>
                <w:sz w:val="24"/>
                <w:szCs w:val="24"/>
              </w:rPr>
              <w:t>150</w:t>
            </w:r>
          </w:p>
        </w:tc>
        <w:tc>
          <w:tcPr>
            <w:tcW w:type="dxa" w:w="3219"/>
            <w:vAlign w:val="center"/>
          </w:tcPr>
          <w:p>
            <w:pPr>
              <w:spacing w:line="252" w:lineRule="auto" w:after="20"/>
              <w:jc w:val="center"/>
            </w:pPr>
            <w:r>
              <w:rPr>
                <w:rFonts w:ascii="Times New Roman" w:hAnsi="Times New Roman" w:cs="Times New Roman" w:eastAsia="Times New Roman"/>
                <w:sz w:val="24"/>
                <w:szCs w:val="24"/>
              </w:rPr>
              <w:t>200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Ұзақ мерзімді несие</w:t>
            </w:r>
          </w:p>
        </w:tc>
        <w:tc>
          <w:tcPr>
            <w:tcW w:type="dxa" w:w="3219"/>
            <w:vAlign w:val="center"/>
          </w:tcPr>
          <w:p>
            <w:pPr>
              <w:spacing w:line="252" w:lineRule="auto" w:after="20"/>
              <w:jc w:val="center"/>
            </w:pPr>
            <w:r>
              <w:rPr>
                <w:rFonts w:ascii="Times New Roman" w:hAnsi="Times New Roman" w:cs="Times New Roman" w:eastAsia="Times New Roman"/>
                <w:sz w:val="24"/>
                <w:szCs w:val="24"/>
              </w:rPr>
              <w:t>500</w:t>
            </w:r>
          </w:p>
        </w:tc>
        <w:tc>
          <w:tcPr>
            <w:tcW w:type="dxa" w:w="3219"/>
            <w:vAlign w:val="center"/>
          </w:tcPr>
          <w:p>
            <w:pPr>
              <w:spacing w:line="252" w:lineRule="auto" w:after="20"/>
              <w:jc w:val="center"/>
            </w:pPr>
            <w:r>
              <w:rPr>
                <w:rFonts w:ascii="Times New Roman" w:hAnsi="Times New Roman" w:cs="Times New Roman" w:eastAsia="Times New Roman"/>
                <w:sz w:val="24"/>
                <w:szCs w:val="24"/>
              </w:rPr>
              <w:t>650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Меншікті капитал</w:t>
            </w:r>
          </w:p>
        </w:tc>
        <w:tc>
          <w:tcPr>
            <w:tcW w:type="dxa" w:w="3219"/>
            <w:vAlign w:val="center"/>
          </w:tcPr>
          <w:p>
            <w:pPr>
              <w:spacing w:line="252" w:lineRule="auto" w:after="20"/>
              <w:jc w:val="center"/>
            </w:pPr>
            <w:r>
              <w:rPr>
                <w:rFonts w:ascii="Times New Roman" w:hAnsi="Times New Roman" w:cs="Times New Roman" w:eastAsia="Times New Roman"/>
                <w:sz w:val="24"/>
                <w:szCs w:val="24"/>
              </w:rPr>
              <w:t>1 100</w:t>
            </w:r>
          </w:p>
        </w:tc>
        <w:tc>
          <w:tcPr>
            <w:tcW w:type="dxa" w:w="3219"/>
            <w:vAlign w:val="center"/>
          </w:tcPr>
          <w:p>
            <w:pPr>
              <w:spacing w:line="252" w:lineRule="auto" w:after="20"/>
              <w:jc w:val="center"/>
            </w:pPr>
            <w:r>
              <w:rPr>
                <w:rFonts w:ascii="Times New Roman" w:hAnsi="Times New Roman" w:cs="Times New Roman" w:eastAsia="Times New Roman"/>
                <w:sz w:val="24"/>
                <w:szCs w:val="24"/>
              </w:rPr>
              <w:t>1 350</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Міндеттемелер мен капитал</w:t>
            </w:r>
          </w:p>
        </w:tc>
        <w:tc>
          <w:tcPr>
            <w:tcW w:type="dxa" w:w="3219"/>
            <w:vAlign w:val="center"/>
          </w:tcPr>
          <w:p>
            <w:pPr>
              <w:spacing w:line="252" w:lineRule="auto" w:after="20"/>
              <w:jc w:val="center"/>
            </w:pPr>
            <w:r>
              <w:rPr>
                <w:rFonts w:ascii="Times New Roman" w:hAnsi="Times New Roman" w:cs="Times New Roman" w:eastAsia="Times New Roman"/>
                <w:sz w:val="24"/>
                <w:szCs w:val="24"/>
              </w:rPr>
              <w:t>2 000</w:t>
            </w:r>
          </w:p>
        </w:tc>
        <w:tc>
          <w:tcPr>
            <w:tcW w:type="dxa" w:w="3219"/>
            <w:vAlign w:val="center"/>
          </w:tcPr>
          <w:p>
            <w:pPr>
              <w:spacing w:line="252" w:lineRule="auto" w:after="20"/>
              <w:jc w:val="center"/>
            </w:pPr>
            <w:r>
              <w:rPr>
                <w:rFonts w:ascii="Times New Roman" w:hAnsi="Times New Roman" w:cs="Times New Roman" w:eastAsia="Times New Roman"/>
                <w:sz w:val="24"/>
                <w:szCs w:val="24"/>
              </w:rPr>
              <w:t>2 500</w:t>
            </w:r>
          </w:p>
        </w:tc>
      </w:tr>
    </w:tbl>
    <w:p>
      <w:pPr>
        <w:spacing w:after="80"/>
        <w:ind w:firstLine="709"/>
        <w:jc w:val="both"/>
        <w:rPr>
          <w:szCs w:val="24"/>
        </w:rPr>
      </w:pPr>
    </w:p>
    <w:p>
      <w:pPr>
        <w:spacing w:after="80"/>
        <w:ind w:firstLine="709"/>
        <w:jc w:val="both"/>
        <w:rPr>
          <w:szCs w:val="24"/>
        </w:rPr>
      </w:pPr>
      <w:r>
        <w:rPr>
          <w:rFonts w:ascii="Times New Roman" w:hAnsi="Times New Roman" w:cs="Times New Roman" w:eastAsia="Times New Roman"/>
          <w:sz w:val="24"/>
          <w:szCs w:val="24"/>
        </w:rPr>
        <w:t>Жыл соңындағы қысқа мерзімді міндеттеме 500-ге тең: 300 жеткізуші берешегі және 200 несие. Актив 500-ге, капитал 250-ге, барлық міндеттеме 250-ге өсті. Демек актив өсімінің жартысы капитал, жартысы міндеттеме өсімімен қаржыланған. Бұл қорытындыны тек актив сомасына қарап шығару мүмкін емес.</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Өтімділік ретімен ұсыну</w:t>
      </w:r>
    </w:p>
    <w:p>
      <w:pPr>
        <w:spacing w:after="80"/>
        <w:ind w:firstLine="709"/>
        <w:jc w:val="both"/>
        <w:rPr>
          <w:szCs w:val="24"/>
        </w:rPr>
      </w:pPr>
      <w:r>
        <w:rPr>
          <w:rFonts w:ascii="Times New Roman" w:hAnsi="Times New Roman" w:cs="Times New Roman" w:eastAsia="Times New Roman"/>
          <w:sz w:val="24"/>
          <w:szCs w:val="24"/>
        </w:rPr>
        <w:t>Әдетте қысқа және ұзақ мерзімді жіктеу пайдаланылады. Егер өтімділік ретімен ұсыну сенімді әрі неғұрлым орынды ақпарат берсе, осы тәсіл қолданылуы мүмкін; бұл әсіресе кейбір қаржы ұйымдарында маңызды. Сондықтан банктің баланс құрылымын өндірістік ұйым үлгісіне күштеп сәйкестендіру дұрыс емес.</w:t>
      </w:r>
    </w:p>
    <w:p>
      <w:pPr>
        <w:spacing w:after="80"/>
        <w:ind w:firstLine="709"/>
        <w:jc w:val="both"/>
        <w:rPr>
          <w:szCs w:val="24"/>
        </w:rPr>
      </w:pPr>
      <w:r>
        <w:rPr>
          <w:rFonts w:ascii="Times New Roman" w:hAnsi="Times New Roman" w:cs="Times New Roman" w:eastAsia="Times New Roman"/>
          <w:sz w:val="24"/>
          <w:szCs w:val="24"/>
        </w:rPr>
        <w:t>Талдаушы алдымен ұйымның қызметін, ұсыну тәсілін және ескертпелерін оқиды. Содан кейін ғана көрсеткіштерді топтастырып, басқа ұйымдармен салыстырады. Балансты жасау мен оны талдау арасындағы байланыс осы жерден басталады.</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Ұзақ мерзімді несиенің ағымдағы бөлігін бөлмеу.</w:t>
      </w:r>
    </w:p>
    <w:p>
      <w:pPr>
        <w:pStyle w:val="a0"/>
        <w:tabs>
          <w:tab w:val="left" w:pos="1134"/>
        </w:tabs>
        <w:ind w:firstLine="491"/>
        <w:jc w:val="both"/>
        <w:rPr>
          <w:szCs w:val="24"/>
        </w:rPr>
      </w:pPr>
      <w:r>
        <w:rPr>
          <w:rFonts w:ascii="Times New Roman" w:hAnsi="Times New Roman" w:cs="Times New Roman" w:eastAsia="Times New Roman"/>
          <w:sz w:val="24"/>
          <w:szCs w:val="24"/>
        </w:rPr>
        <w:t>Активтерді тек төлем жасалған құнмен мәңгі көрсету.</w:t>
      </w:r>
    </w:p>
    <w:p>
      <w:pPr>
        <w:pStyle w:val="a0"/>
        <w:tabs>
          <w:tab w:val="left" w:pos="1134"/>
        </w:tabs>
        <w:ind w:firstLine="491"/>
        <w:jc w:val="both"/>
        <w:rPr>
          <w:szCs w:val="24"/>
        </w:rPr>
      </w:pPr>
      <w:r>
        <w:rPr>
          <w:rFonts w:ascii="Times New Roman" w:hAnsi="Times New Roman" w:cs="Times New Roman" w:eastAsia="Times New Roman"/>
          <w:sz w:val="24"/>
          <w:szCs w:val="24"/>
        </w:rPr>
        <w:t>Кез келген қарсы талаптарды өзара шегеру.</w:t>
      </w:r>
    </w:p>
    <w:p>
      <w:pPr>
        <w:pStyle w:val="a0"/>
        <w:tabs>
          <w:tab w:val="left" w:pos="1134"/>
        </w:tabs>
        <w:ind w:firstLine="491"/>
        <w:jc w:val="both"/>
        <w:rPr>
          <w:szCs w:val="24"/>
        </w:rPr>
      </w:pPr>
      <w:r>
        <w:rPr>
          <w:rFonts w:ascii="Times New Roman" w:hAnsi="Times New Roman" w:cs="Times New Roman" w:eastAsia="Times New Roman"/>
          <w:sz w:val="24"/>
          <w:szCs w:val="24"/>
        </w:rPr>
        <w:t>Баланс валютасының өсуін автоматты түрде тиімділік деп бағалау.</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Операциялық цикл жіктеуге қалай әсер етеді?</w:t>
      </w:r>
    </w:p>
    <w:p>
      <w:pPr>
        <w:spacing w:after="80"/>
        <w:ind w:left="170" w:firstLine="709"/>
        <w:jc w:val="both"/>
        <w:rPr>
          <w:szCs w:val="24"/>
        </w:rPr>
      </w:pPr>
      <w:r>
        <w:rPr>
          <w:rFonts w:ascii="Times New Roman" w:hAnsi="Times New Roman" w:cs="Times New Roman" w:eastAsia="Times New Roman"/>
          <w:sz w:val="24"/>
          <w:szCs w:val="24"/>
        </w:rPr>
        <w:t>2. Қарызды кейінге қалдыру ниеті мен құқығы несімен ерекшеленеді?</w:t>
      </w:r>
    </w:p>
    <w:p>
      <w:pPr>
        <w:spacing w:after="80"/>
        <w:ind w:left="170" w:firstLine="709"/>
        <w:jc w:val="both"/>
        <w:rPr>
          <w:szCs w:val="24"/>
        </w:rPr>
      </w:pPr>
      <w:r>
        <w:rPr>
          <w:rFonts w:ascii="Times New Roman" w:hAnsi="Times New Roman" w:cs="Times New Roman" w:eastAsia="Times New Roman"/>
          <w:sz w:val="24"/>
          <w:szCs w:val="24"/>
        </w:rPr>
        <w:t>3. Баланс неліктен нарықтық құнды толық көрсетпейді?</w:t>
      </w:r>
    </w:p>
    <w:p>
      <w:pPr>
        <w:spacing w:after="80"/>
        <w:ind w:left="170" w:firstLine="709"/>
        <w:jc w:val="both"/>
        <w:rPr>
          <w:szCs w:val="24"/>
        </w:rPr>
      </w:pPr>
      <w:r>
        <w:rPr>
          <w:rFonts w:ascii="Times New Roman" w:hAnsi="Times New Roman" w:cs="Times New Roman" w:eastAsia="Times New Roman"/>
          <w:sz w:val="24"/>
          <w:szCs w:val="24"/>
        </w:rPr>
        <w:t>4. Қор құнын төмендету капиталға қалай ықпал етеді?</w:t>
      </w:r>
    </w:p>
    <w:p>
      <w:pPr>
        <w:spacing w:after="80"/>
        <w:ind w:left="170" w:firstLine="709"/>
        <w:jc w:val="both"/>
        <w:rPr>
          <w:szCs w:val="24"/>
        </w:rPr>
      </w:pPr>
      <w:r>
        <w:rPr>
          <w:rFonts w:ascii="Times New Roman" w:hAnsi="Times New Roman" w:cs="Times New Roman" w:eastAsia="Times New Roman"/>
          <w:sz w:val="24"/>
          <w:szCs w:val="24"/>
        </w:rPr>
        <w:t>5. Қай ұйым үшін өтімділік ретімен ұсыну орынды болуы мүмкін?</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spacing w:after="80"/>
        <w:ind w:firstLine="709"/>
        <w:jc w:val="both"/>
        <w:rPr>
          <w:szCs w:val="24"/>
        </w:rPr>
      </w:pPr>
      <w:r>
        <w:rPr>
          <w:rFonts w:ascii="Times New Roman" w:hAnsi="Times New Roman" w:cs="Times New Roman" w:eastAsia="Times New Roman"/>
          <w:sz w:val="24"/>
          <w:szCs w:val="24"/>
        </w:rPr>
        <w:t>Үш жылдық 900 мың теңге несиенің 200-і келесі жылы өтеледі. Өзге жағдайлар өзгермесе, 200 қысқа мерзімдіге, 700 ұзақ мерзімдіге бөлінеді. Құқықтар мен ковенанттар туралы шарттар қосымша тексеріледі.</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0" w:line="240" w:lineRule="auto"/>
        <w:ind w:firstLine="709"/>
        <w:jc w:val="both"/>
        <w:rPr>
          <w:szCs w:val="24"/>
        </w:rPr>
      </w:pPr>
      <w:r>
        <w:rPr>
          <w:rFonts w:ascii="Times New Roman" w:hAnsi="Times New Roman" w:cs="Times New Roman" w:eastAsia="Times New Roman"/>
          <w:sz w:val="24"/>
          <w:szCs w:val="24"/>
        </w:rPr>
        <w:t>[Ә2] Нурсеитов, Э.О. МСФО в Казахстане: принципы перехода и применения / Э.О. Нурсеитов, Д.Э. Нурсеитов.- Изд. 2-е, доп. и перераб.- Алматы: LEM, 2013.- 388 с.</w:t>
      </w:r>
    </w:p>
    <w:p>
      <w:pPr>
        <w:spacing w:after="0" w:line="240" w:lineRule="auto"/>
        <w:ind w:firstLine="709"/>
        <w:jc w:val="both"/>
        <w:rPr>
          <w:szCs w:val="24"/>
        </w:rPr>
      </w:pPr>
      <w:r>
        <w:rPr>
          <w:rFonts w:ascii="Times New Roman" w:hAnsi="Times New Roman" w:cs="Times New Roman" w:eastAsia="Times New Roman"/>
          <w:sz w:val="24"/>
          <w:szCs w:val="24"/>
        </w:rPr>
        <w:t>[Ә3] Международные стандарты финансовой отчетности в ред. 2026 г.</w:t>
      </w:r>
    </w:p>
    <w:p>
      <w:pPr>
        <w:spacing w:after="0" w:line="240" w:lineRule="auto"/>
        <w:ind w:firstLine="709"/>
        <w:jc w:val="both"/>
        <w:rPr>
          <w:szCs w:val="24"/>
        </w:rPr>
      </w:pPr>
      <w:r>
        <w:rPr>
          <w:rFonts w:ascii="Times New Roman" w:hAnsi="Times New Roman" w:cs="Times New Roman" w:eastAsia="Times New Roman"/>
          <w:sz w:val="24"/>
          <w:szCs w:val="24"/>
        </w:rPr>
        <w:t xml:space="preserve">[Ә4] Илышева, Н. Н. Анализ финансовой отчетности : учебное пособие для студентов вузов, обучающихся по специальности «Бухгалтерский учет, анализ и аудит», «Финансы и кредит» / Н. Н. Илышева, С. И. Крылов. — Москва : ЮНИТИ-ДАНА, 2023. — 240 c. — ISBN 978-5-238-01253-7.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Ресми және бастапқы дереккөздер</w:t>
      </w:r>
    </w:p>
    <w:p>
      <w:pPr>
        <w:spacing w:after="0" w:line="240" w:lineRule="auto"/>
        <w:ind w:firstLine="709"/>
        <w:jc w:val="both"/>
        <w:rPr>
          <w:szCs w:val="24"/>
        </w:rPr>
      </w:pPr>
      <w:r>
        <w:rPr>
          <w:rFonts w:ascii="Times New Roman" w:hAnsi="Times New Roman" w:cs="Times New Roman" w:eastAsia="Times New Roman"/>
          <w:sz w:val="24"/>
          <w:szCs w:val="24"/>
        </w:rPr>
        <w:t xml:space="preserve">[Н6] IFRS Foundation. IAS 1 Presentation of Financial Statements. </w:t>
      </w:r>
      <w:hyperlink r:id="rId15">
        <w:r>
          <w:rPr>
            <w:rFonts w:ascii="Times New Roman" w:hAnsi="Times New Roman" w:cs="Times New Roman" w:eastAsia="Times New Roman"/>
            <w:u w:val="single"/>
            <w:color w:val="000000"/>
            <w:sz w:val="24"/>
            <w:szCs w:val="24"/>
          </w:rPr>
          <w:t>Дереккөзді ашу</w:t>
        </w:r>
      </w:hyperlink>
    </w:p>
    <w:p>
      <w:pPr>
        <w:spacing w:after="0" w:line="240" w:lineRule="auto"/>
        <w:ind w:firstLine="709"/>
        <w:jc w:val="both"/>
        <w:rPr>
          <w:szCs w:val="24"/>
        </w:rPr>
      </w:pPr>
      <w:r>
        <w:rPr>
          <w:rFonts w:ascii="Times New Roman" w:hAnsi="Times New Roman" w:cs="Times New Roman" w:eastAsia="Times New Roman"/>
          <w:sz w:val="24"/>
          <w:szCs w:val="24"/>
        </w:rPr>
        <w:t xml:space="preserve">[Н7] IFRS Foundation. IFRS 18 Presentation and Disclosure in Financial Statements. </w:t>
      </w:r>
      <w:hyperlink r:id="rId16">
        <w:r>
          <w:rPr>
            <w:rFonts w:ascii="Times New Roman" w:hAnsi="Times New Roman" w:cs="Times New Roman" w:eastAsia="Times New Roman"/>
            <w:u w:val="single"/>
            <w:color w:val="000000"/>
            <w:sz w:val="24"/>
            <w:szCs w:val="24"/>
          </w:rPr>
          <w:t>Дереккөзді ашу</w:t>
        </w:r>
      </w:hyperlink>
    </w:p>
    <w:p>
      <w:pPr>
        <w:spacing w:after="0" w:line="240" w:lineRule="auto"/>
        <w:ind w:firstLine="709"/>
        <w:jc w:val="both"/>
        <w:rPr>
          <w:szCs w:val="24"/>
        </w:rPr>
      </w:pPr>
      <w:r>
        <w:rPr>
          <w:rFonts w:ascii="Times New Roman" w:hAnsi="Times New Roman" w:cs="Times New Roman" w:eastAsia="Times New Roman"/>
          <w:sz w:val="24"/>
          <w:szCs w:val="24"/>
        </w:rPr>
        <w:t xml:space="preserve">[Н4] IFRS Foundation. IAS 2 Inventories. </w:t>
      </w:r>
      <w:hyperlink r:id="rId17">
        <w:r>
          <w:rPr>
            <w:rFonts w:ascii="Times New Roman" w:hAnsi="Times New Roman" w:cs="Times New Roman" w:eastAsia="Times New Roman"/>
            <w:u w:val="single"/>
            <w:color w:val="000000"/>
            <w:sz w:val="24"/>
            <w:szCs w:val="24"/>
          </w:rPr>
          <w:t>Дереккөзді ашу</w:t>
        </w:r>
      </w:hyperlink>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6.html" TargetMode="External"/><Relationship Id="rId15" Type="http://schemas.openxmlformats.org/officeDocument/2006/relationships/hyperlink" Target="https://www.ifrs.org/issued-standards/list-of-standards/ias-1-presentation-of-financial-statements/" TargetMode="External"/><Relationship Id="rId16" Type="http://schemas.openxmlformats.org/officeDocument/2006/relationships/hyperlink" Target="https://www.ifrs.org/issued-standards/list-of-standards/ifrs-18-presentation-and-disclosure-in-financial-statements/" TargetMode="External"/><Relationship Id="rId17" Type="http://schemas.openxmlformats.org/officeDocument/2006/relationships/hyperlink" Target="https://www.ifrs.org/issued-standards/list-of-standards/ias-2-invento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Қаржылық жағдай туралы есеп</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