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4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Қаржылық есептіліктің толық жиынтығын ұсыну</w:t>
      </w:r>
    </w:p>
    <w:p>
      <w:pPr>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Негізгі есеп нысандарының байланысын түсіндіру, толық жиынтықтың құрамын тексеру және IAS 1 мен IFRS 18 талаптарының уақыт бойынша қолданылуын ажырату.</w:t>
      </w:r>
    </w:p>
    <w:p>
      <w:pPr>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Неліктен бір баланс жеткіліксіз; Сәйкестендіру және салыстырмалы ақпарат; Нысандардың өзара байланысын оқу; IAS 1 мен IFRS 18 арасындағы ауысу; Ескертпелер мен өзара сілтемелер; Толық жиынтықты тексеру мысалы.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Неліктен бір баланс жеткіліксіз</w:t>
      </w:r>
    </w:p>
    <w:p>
      <w:pPr>
        <w:ind w:firstLine="709"/>
        <w:jc w:val="both"/>
        <w:rPr>
          <w:szCs w:val="24"/>
        </w:rPr>
      </w:pPr>
      <w:r>
        <w:rPr>
          <w:rFonts w:ascii="Times New Roman" w:hAnsi="Times New Roman" w:cs="Times New Roman" w:eastAsia="Times New Roman"/>
          <w:sz w:val="24"/>
          <w:szCs w:val="24"/>
        </w:rPr>
        <w:t>Баланс ұйымның белгілі бір күндегі жағдайын көрсетеді, бірақ сол жағдайдың қалай қалыптасқанын толық түсіндірмейді. Капитал жаңа меншік иесінің салымынан да, пайдадан да өсуі мүмкін. Ақша несие есебінен де, өнім сатудан да көбейеді. Сондықтан пайдаланушыға бір-бірін толықтыратын есеп нысандары керек.</w:t>
      </w:r>
    </w:p>
    <w:p>
      <w:pPr>
        <w:ind w:firstLine="709"/>
        <w:jc w:val="both"/>
        <w:rPr>
          <w:szCs w:val="24"/>
        </w:rPr>
      </w:pPr>
      <w:r>
        <w:rPr>
          <w:rFonts w:ascii="Times New Roman" w:hAnsi="Times New Roman" w:cs="Times New Roman" w:eastAsia="Times New Roman"/>
          <w:sz w:val="24"/>
          <w:szCs w:val="24"/>
        </w:rPr>
        <w:t>Толық жиынтық қаржылық жағдай туралы есепті, кезеңнің пайдасы немесе залалы мен өзге жиынтық кірісі туралы ақпаратты, меншікті капиталдағы өзгерістер туралы есепті, ақша қаражатының қозғалысы туралы есепті және ескертпелерді қамтиды. Пайда немесе залал мен өзге жиынтық кіріс бір есепте не қатар ұсынылатын екі есепте көрсетілуі мүмкін. Салыстырмалы ақпарат та жиынтықтың ажырамас бөлігі. [Н6]</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Есеп нысаны</w:t>
            </w:r>
          </w:p>
        </w:tc>
        <w:tc>
          <w:tcPr>
            <w:tcW w:type="dxa" w:w="3219"/>
            <w:vAlign w:val="center"/>
            <w:shd w:fill="E9EEF4"/>
          </w:tcPr>
          <w:p>
            <w:pPr>
              <w:spacing w:line="252" w:lineRule="auto" w:after="20"/>
            </w:pPr>
            <w:r>
              <w:rPr>
                <w:rFonts w:ascii="Times New Roman" w:hAnsi="Times New Roman" w:cs="Times New Roman" w:eastAsia="Times New Roman"/>
                <w:b/>
                <w:sz w:val="24"/>
                <w:szCs w:val="24"/>
              </w:rPr>
              <w:t>Жауап беретін сұрағы</w:t>
            </w:r>
          </w:p>
        </w:tc>
        <w:tc>
          <w:tcPr>
            <w:tcW w:type="dxa" w:w="3219"/>
            <w:vAlign w:val="center"/>
            <w:shd w:fill="E9EEF4"/>
          </w:tcPr>
          <w:p>
            <w:pPr>
              <w:spacing w:line="252" w:lineRule="auto" w:after="20"/>
            </w:pPr>
            <w:r>
              <w:rPr>
                <w:rFonts w:ascii="Times New Roman" w:hAnsi="Times New Roman" w:cs="Times New Roman" w:eastAsia="Times New Roman"/>
                <w:b/>
                <w:sz w:val="24"/>
                <w:szCs w:val="24"/>
              </w:rPr>
              <w:t>Қаралатын уақыт</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Қаржылық жағдай туралы есеп</w:t>
            </w:r>
          </w:p>
        </w:tc>
        <w:tc>
          <w:tcPr>
            <w:tcW w:type="dxa" w:w="3219"/>
            <w:vAlign w:val="center"/>
          </w:tcPr>
          <w:p>
            <w:pPr>
              <w:spacing w:line="252" w:lineRule="auto" w:after="20"/>
            </w:pPr>
            <w:r>
              <w:rPr>
                <w:rFonts w:ascii="Times New Roman" w:hAnsi="Times New Roman" w:cs="Times New Roman" w:eastAsia="Times New Roman"/>
                <w:sz w:val="24"/>
                <w:szCs w:val="24"/>
              </w:rPr>
              <w:t>Не бар және қандай көзден қаржыланған</w:t>
            </w:r>
          </w:p>
        </w:tc>
        <w:tc>
          <w:tcPr>
            <w:tcW w:type="dxa" w:w="3219"/>
            <w:vAlign w:val="center"/>
          </w:tcPr>
          <w:p>
            <w:pPr>
              <w:spacing w:line="252" w:lineRule="auto" w:after="20"/>
            </w:pPr>
            <w:r>
              <w:rPr>
                <w:rFonts w:ascii="Times New Roman" w:hAnsi="Times New Roman" w:cs="Times New Roman" w:eastAsia="Times New Roman"/>
                <w:sz w:val="24"/>
                <w:szCs w:val="24"/>
              </w:rPr>
              <w:t>Нақты күн</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Қаржылық нәтиже туралы есеп</w:t>
            </w:r>
          </w:p>
        </w:tc>
        <w:tc>
          <w:tcPr>
            <w:tcW w:type="dxa" w:w="3219"/>
            <w:vAlign w:val="center"/>
          </w:tcPr>
          <w:p>
            <w:pPr>
              <w:spacing w:line="252" w:lineRule="auto" w:after="20"/>
            </w:pPr>
            <w:r>
              <w:rPr>
                <w:rFonts w:ascii="Times New Roman" w:hAnsi="Times New Roman" w:cs="Times New Roman" w:eastAsia="Times New Roman"/>
                <w:sz w:val="24"/>
                <w:szCs w:val="24"/>
              </w:rPr>
              <w:t>Кезеңде қандай нәтиже алынған</w:t>
            </w:r>
          </w:p>
        </w:tc>
        <w:tc>
          <w:tcPr>
            <w:tcW w:type="dxa" w:w="3219"/>
            <w:vAlign w:val="center"/>
          </w:tcPr>
          <w:p>
            <w:pPr>
              <w:spacing w:line="252" w:lineRule="auto" w:after="20"/>
            </w:pPr>
            <w:r>
              <w:rPr>
                <w:rFonts w:ascii="Times New Roman" w:hAnsi="Times New Roman" w:cs="Times New Roman" w:eastAsia="Times New Roman"/>
                <w:sz w:val="24"/>
                <w:szCs w:val="24"/>
              </w:rPr>
              <w:t>Кезең</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Капиталдағы өзгерістер</w:t>
            </w:r>
          </w:p>
        </w:tc>
        <w:tc>
          <w:tcPr>
            <w:tcW w:type="dxa" w:w="3219"/>
            <w:vAlign w:val="center"/>
          </w:tcPr>
          <w:p>
            <w:pPr>
              <w:spacing w:line="252" w:lineRule="auto" w:after="20"/>
            </w:pPr>
            <w:r>
              <w:rPr>
                <w:rFonts w:ascii="Times New Roman" w:hAnsi="Times New Roman" w:cs="Times New Roman" w:eastAsia="Times New Roman"/>
                <w:sz w:val="24"/>
                <w:szCs w:val="24"/>
              </w:rPr>
              <w:t>Капитал неліктен өзгерген</w:t>
            </w:r>
          </w:p>
        </w:tc>
        <w:tc>
          <w:tcPr>
            <w:tcW w:type="dxa" w:w="3219"/>
            <w:vAlign w:val="center"/>
          </w:tcPr>
          <w:p>
            <w:pPr>
              <w:spacing w:line="252" w:lineRule="auto" w:after="20"/>
            </w:pPr>
            <w:r>
              <w:rPr>
                <w:rFonts w:ascii="Times New Roman" w:hAnsi="Times New Roman" w:cs="Times New Roman" w:eastAsia="Times New Roman"/>
                <w:sz w:val="24"/>
                <w:szCs w:val="24"/>
              </w:rPr>
              <w:t>Кезең</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Ақша қозғалысы</w:t>
            </w:r>
          </w:p>
        </w:tc>
        <w:tc>
          <w:tcPr>
            <w:tcW w:type="dxa" w:w="3219"/>
            <w:vAlign w:val="center"/>
          </w:tcPr>
          <w:p>
            <w:pPr>
              <w:spacing w:line="252" w:lineRule="auto" w:after="20"/>
            </w:pPr>
            <w:r>
              <w:rPr>
                <w:rFonts w:ascii="Times New Roman" w:hAnsi="Times New Roman" w:cs="Times New Roman" w:eastAsia="Times New Roman"/>
                <w:sz w:val="24"/>
                <w:szCs w:val="24"/>
              </w:rPr>
              <w:t>Ақша қайдан келіп қайда жұмсалған</w:t>
            </w:r>
          </w:p>
        </w:tc>
        <w:tc>
          <w:tcPr>
            <w:tcW w:type="dxa" w:w="3219"/>
            <w:vAlign w:val="center"/>
          </w:tcPr>
          <w:p>
            <w:pPr>
              <w:spacing w:line="252" w:lineRule="auto" w:after="20"/>
            </w:pPr>
            <w:r>
              <w:rPr>
                <w:rFonts w:ascii="Times New Roman" w:hAnsi="Times New Roman" w:cs="Times New Roman" w:eastAsia="Times New Roman"/>
                <w:sz w:val="24"/>
                <w:szCs w:val="24"/>
              </w:rPr>
              <w:t>Кезең</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Ескертпелер</w:t>
            </w:r>
          </w:p>
        </w:tc>
        <w:tc>
          <w:tcPr>
            <w:tcW w:type="dxa" w:w="3219"/>
            <w:vAlign w:val="center"/>
          </w:tcPr>
          <w:p>
            <w:pPr>
              <w:spacing w:line="252" w:lineRule="auto" w:after="20"/>
            </w:pPr>
            <w:r>
              <w:rPr>
                <w:rFonts w:ascii="Times New Roman" w:hAnsi="Times New Roman" w:cs="Times New Roman" w:eastAsia="Times New Roman"/>
                <w:sz w:val="24"/>
                <w:szCs w:val="24"/>
              </w:rPr>
              <w:t>Көрсеткіш қалай қалыптасқан және қандай тәуекел бар</w:t>
            </w:r>
          </w:p>
        </w:tc>
        <w:tc>
          <w:tcPr>
            <w:tcW w:type="dxa" w:w="3219"/>
            <w:vAlign w:val="center"/>
          </w:tcPr>
          <w:p>
            <w:pPr>
              <w:spacing w:line="252" w:lineRule="auto" w:after="20"/>
            </w:pPr>
            <w:r>
              <w:rPr>
                <w:rFonts w:ascii="Times New Roman" w:hAnsi="Times New Roman" w:cs="Times New Roman" w:eastAsia="Times New Roman"/>
                <w:sz w:val="24"/>
                <w:szCs w:val="24"/>
              </w:rPr>
              <w:t>Тиісті күндер мен кезеңдер</w:t>
            </w:r>
          </w:p>
        </w:tc>
      </w:tr>
    </w:tbl>
    <w:p>
      <w:pPr>
        <w:ind w:firstLine="709"/>
        <w:jc w:val="both"/>
        <w:rPr>
          <w:szCs w:val="24"/>
        </w:rPr>
      </w:pP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Сәйкестендіру және салыстырмалы ақпарат</w:t>
      </w:r>
    </w:p>
    <w:p>
      <w:pPr>
        <w:ind w:firstLine="709"/>
        <w:jc w:val="both"/>
        <w:rPr>
          <w:szCs w:val="24"/>
        </w:rPr>
      </w:pPr>
      <w:r>
        <w:rPr>
          <w:rFonts w:ascii="Times New Roman" w:hAnsi="Times New Roman" w:cs="Times New Roman" w:eastAsia="Times New Roman"/>
          <w:sz w:val="24"/>
          <w:szCs w:val="24"/>
        </w:rPr>
        <w:t>Әр нысанда ұйымның атауы, жеке немесе шоғырландырылған есептілік екені, есепті күн не кезең, ұсыну валютасы және дөңгелектеу деңгейі түсінікті болуы керек. «2 500» саны теңгемен бе, мың теңгемен бе берілгені белгісіз болса, дұрыс есеп те қате оқылады.</w:t>
      </w:r>
    </w:p>
    <w:p>
      <w:pPr>
        <w:ind w:firstLine="709"/>
        <w:jc w:val="both"/>
        <w:rPr>
          <w:szCs w:val="24"/>
        </w:rPr>
      </w:pPr>
      <w:r>
        <w:rPr>
          <w:rFonts w:ascii="Times New Roman" w:hAnsi="Times New Roman" w:cs="Times New Roman" w:eastAsia="Times New Roman"/>
          <w:sz w:val="24"/>
          <w:szCs w:val="24"/>
        </w:rPr>
        <w:t>Салыстыру үшін кемінде алдыңғы кезеңнің тиісті сомалары ұсынылады. Жіктеу өзгерсе, салыстырмалы деректерді қайта жіктеу мен оның себептері бағаланады. Ал ретроспективті өзгеріс алдыңғы салыстырмалы кезеңнің басындағы қаржылық жағдайға елеулі әсер етсе, сол күнге қосымша қаржылық жағдай туралы есеп талап етілуі мүмкін. Ол кез келген түзетуде автоматты түрде қосыла бермейді.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Нысандардың өзара байланысын оқу</w:t>
      </w:r>
    </w:p>
    <w:p>
      <w:pPr>
        <w:ind w:firstLine="709"/>
        <w:jc w:val="both"/>
        <w:rPr>
          <w:szCs w:val="24"/>
        </w:rPr>
      </w:pPr>
      <w:r>
        <w:rPr>
          <w:rFonts w:ascii="Times New Roman" w:hAnsi="Times New Roman" w:cs="Times New Roman" w:eastAsia="Times New Roman"/>
          <w:sz w:val="24"/>
          <w:szCs w:val="24"/>
        </w:rPr>
        <w:t>Оқу мысалында «АрнаӨндіріс» кәсіпорнының жыл басындағы активі 2 000, міндеттемесі 900, капиталы 1 100 мың теңге. Жыл соңында активі 2 500, міндеттемесі 1 150, капиталы 1 350 болды. Кезеңнің таза пайдасы 350, өзге жиынтық кірісі 20, меншік иелеріне дивиденд 120 мың теңге. Қосымша капитал салымы жоқ.</w:t>
      </w:r>
    </w:p>
    <w:p>
      <w:pPr>
        <w:ind w:firstLine="709"/>
        <w:jc w:val="both"/>
        <w:rPr>
          <w:szCs w:val="24"/>
        </w:rPr>
      </w:pPr>
      <m:oMath>
        <m:r>
          <m:rPr>
            <m:nor/>
          </m:rPr>
          <w:rPr>
            <w:rFonts w:ascii="Times New Roman" w:hAnsi="Times New Roman"/>
            <w:sz w:val="22"/>
          </w:rPr>
          <m:t xml:space="preserve">1 100 + 350 + 20 − 120 = 1 350</m:t>
        </m:r>
      </m:oMath>
    </w:p>
    <w:p>
      <w:pPr>
        <w:ind w:firstLine="709"/>
        <w:jc w:val="both"/>
        <w:rPr>
          <w:szCs w:val="24"/>
        </w:rPr>
      </w:pPr>
      <w:r>
        <w:rPr>
          <w:rFonts w:ascii="Times New Roman" w:hAnsi="Times New Roman" w:cs="Times New Roman" w:eastAsia="Times New Roman"/>
          <w:sz w:val="24"/>
          <w:szCs w:val="24"/>
        </w:rPr>
        <w:t>Пайда капиталды ұлғайтты, ал дивиденд азайтты. Дивидендті пайда туралы есепке шығыс ретінде енгізсек, пайда да, капитал қозғалысы да бұрмаланады. Өзге жиынтық кірісті таза пайдаға қосып жіберу де дұрыс емес: жиынтық кіріс 370 болғанымен, таза пайда 350 болып қалады.</w:t>
      </w:r>
    </w:p>
    <w:p>
      <w:pPr>
        <w:ind w:firstLine="709"/>
        <w:jc w:val="both"/>
        <w:rPr>
          <w:szCs w:val="24"/>
        </w:rPr>
      </w:pPr>
      <w:r>
        <w:rPr>
          <w:rFonts w:ascii="Times New Roman" w:hAnsi="Times New Roman" w:cs="Times New Roman" w:eastAsia="Times New Roman"/>
          <w:sz w:val="24"/>
          <w:szCs w:val="24"/>
        </w:rPr>
        <w:t>Ақша жыл басында 200, соңында 240 мың теңге. Операциялық қызметтен 420, инвестициялық қызметтен −380, қаржылық қызметтен 0 алынса, таза өзгеріс 40 болады. Пайда 350 мен ақша өсімі 40 арасындағы айырма қате емес; оның себептері келесі дәрістерде ашылады.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IAS 1 мен IFRS 18 арасындағы ауысу</w:t>
      </w:r>
    </w:p>
    <w:p>
      <w:pPr>
        <w:ind w:firstLine="709"/>
        <w:jc w:val="both"/>
        <w:rPr>
          <w:szCs w:val="24"/>
        </w:rPr>
      </w:pPr>
      <w:r>
        <w:rPr>
          <w:rFonts w:ascii="Times New Roman" w:hAnsi="Times New Roman" w:cs="Times New Roman" w:eastAsia="Times New Roman"/>
          <w:sz w:val="24"/>
          <w:szCs w:val="24"/>
        </w:rPr>
        <w:t>IFRS 18 2027 жылғы 1 қаңтарда немесе одан кейін басталатын жылдық есепті кезеңдерге қолданылады; ерте қолдануға рұқсат берілген. Ол IAS 1-ді алмастырады. Сондықтан 2026 жылғы есептілікке жаңа талапты міндетті түрде қолданылды деп жазуға болмайды, ал 2027 жылғы курста оны тек алыс болашақтағы жаңалық ретінде түсіндіру де жеткіліксіз. [Н7]</w:t>
      </w:r>
    </w:p>
    <w:p>
      <w:pPr>
        <w:ind w:firstLine="709"/>
        <w:jc w:val="both"/>
        <w:rPr>
          <w:szCs w:val="24"/>
        </w:rPr>
      </w:pPr>
      <w:r>
        <w:rPr>
          <w:rFonts w:ascii="Times New Roman" w:hAnsi="Times New Roman" w:cs="Times New Roman" w:eastAsia="Times New Roman"/>
          <w:sz w:val="24"/>
          <w:szCs w:val="24"/>
        </w:rPr>
        <w:t>Өзгерістің маңызды бөлігі пайда немесе залал туралы есептің құрылымына қатысты: операциялық, инвестициялық және қаржыландыру санаттары нақтыланады, жаңа аралық қорытындылар мен басшылық айқындайтын көрсеткіштерге қатысты ашып көрсету талаптары енгізіледі. Бұрынғы талаптардың бір бөлігі IFRS 18-де сақталған, ал дайындау негізіне қатысты бірқатар талап IAS 8-ге көшірілген. IAS 8-дің жаңартылған атауы — Basis of Preparation of Financial Statements. [Н3]</w:t>
      </w:r>
    </w:p>
    <w:p>
      <w:pPr>
        <w:ind w:firstLine="709"/>
        <w:jc w:val="both"/>
        <w:rPr>
          <w:szCs w:val="24"/>
        </w:rPr>
      </w:pPr>
      <w:r>
        <w:rPr>
          <w:rFonts w:ascii="Times New Roman" w:hAnsi="Times New Roman" w:cs="Times New Roman" w:eastAsia="Times New Roman"/>
          <w:sz w:val="24"/>
          <w:szCs w:val="24"/>
        </w:rPr>
        <w:t>Ауысуға дайындық жаңа жолдарды қосумен шектелмейді. Ұйым шоттарды жаңа санаттарға сәйкестендіреді, салыстырмалы ақпаратты дайындайды, есеп саясаты мен есептеу жүйелерін тексереді. Бұл жұмыс бухгалтер, қаржылық талдаушы және ақпараттық жүйе маманының бірлескен ісін қажет етеді.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Ескертпелер мен өзара сілтемелер</w:t>
      </w:r>
    </w:p>
    <w:p>
      <w:pPr>
        <w:ind w:firstLine="709"/>
        <w:jc w:val="both"/>
        <w:rPr>
          <w:szCs w:val="24"/>
        </w:rPr>
      </w:pPr>
      <w:r>
        <w:rPr>
          <w:rFonts w:ascii="Times New Roman" w:hAnsi="Times New Roman" w:cs="Times New Roman" w:eastAsia="Times New Roman"/>
          <w:sz w:val="24"/>
          <w:szCs w:val="24"/>
        </w:rPr>
        <w:t>Негізгі нысандар құрылымдалған қысқаша көрініс береді, ескертпелер оны толықтырады. Мысалы, баланстағы 400 мың теңге дебиторлық берешектің қаншасы мерзімі өткенін, қандай залал резерві шегерілгенін және бір ірі клиентке шоғырланғанын ескертпесіз білу қиын.</w:t>
      </w:r>
    </w:p>
    <w:p>
      <w:pPr>
        <w:ind w:firstLine="709"/>
        <w:jc w:val="both"/>
        <w:rPr>
          <w:szCs w:val="24"/>
        </w:rPr>
      </w:pPr>
      <w:r>
        <w:rPr>
          <w:rFonts w:ascii="Times New Roman" w:hAnsi="Times New Roman" w:cs="Times New Roman" w:eastAsia="Times New Roman"/>
          <w:sz w:val="24"/>
          <w:szCs w:val="24"/>
        </w:rPr>
        <w:t>Нысандағы бап ескертпенің нөміріне, ал ескертпедегі жиынтық негізгі нысанға сәйкестендіріледі. Бір бапқа екі түрлі сан беру пайдаланушының сенімін төмендетеді. Ұсақ әрі қатысы аз мәліметтер маңызды ақпаратты көлегейлемеуге тиіс.</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6 Толық жиынтықты тексеру мысалы</w:t>
      </w:r>
    </w:p>
    <w:p>
      <w:pPr>
        <w:ind w:firstLine="709"/>
        <w:jc w:val="both"/>
        <w:rPr>
          <w:szCs w:val="24"/>
        </w:rPr>
      </w:pPr>
      <w:r>
        <w:rPr>
          <w:rFonts w:ascii="Times New Roman" w:hAnsi="Times New Roman" w:cs="Times New Roman" w:eastAsia="Times New Roman"/>
          <w:sz w:val="24"/>
          <w:szCs w:val="24"/>
        </w:rPr>
        <w:t>Студентке баланс, пайда туралы есеп және ақша қозғалысы туралы есеп берілді, бірақ капитал қозғалысы мен ескертпелер жоқ. Нысандардың арифметикасы дұрыс болғанымен, бұл толық жиынтық емес. Оны толықтыру үшін капитал өзгерісінің себептері мен маңызды есеп саясаты, бағалаулар және тәуекелдер жөніндегі ақпарат қажет.</w:t>
      </w:r>
    </w:p>
    <w:p>
      <w:pPr>
        <w:ind w:firstLine="709"/>
        <w:jc w:val="both"/>
        <w:rPr>
          <w:szCs w:val="24"/>
        </w:rPr>
      </w:pPr>
      <w:r>
        <w:rPr>
          <w:rFonts w:ascii="Times New Roman" w:hAnsi="Times New Roman" w:cs="Times New Roman" w:eastAsia="Times New Roman"/>
          <w:sz w:val="24"/>
          <w:szCs w:val="24"/>
        </w:rPr>
        <w:t>Тексеру кезінде алдымен құрам мен кезеңдер қаралады, кейін барлық есептердің байланысы салыстырылады. Соңында атаулар, валюта, өлшем бірліктері және ескертпе сілтемелері тексеріледі. Осындай реттілік нысанның сыртқы түріне ғана қарап қанағаттанудан сақтайды.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Балансты толық қаржылық есептілік деп атау.</w:t>
      </w:r>
    </w:p>
    <w:p>
      <w:pPr>
        <w:pStyle w:val="a0"/>
        <w:tabs>
          <w:tab w:val="left" w:pos="1134"/>
        </w:tabs>
        <w:ind w:firstLine="491"/>
        <w:jc w:val="both"/>
        <w:rPr>
          <w:szCs w:val="24"/>
        </w:rPr>
      </w:pPr>
      <w:r>
        <w:rPr>
          <w:rFonts w:ascii="Times New Roman" w:hAnsi="Times New Roman" w:cs="Times New Roman" w:eastAsia="Times New Roman"/>
          <w:sz w:val="24"/>
          <w:szCs w:val="24"/>
        </w:rPr>
        <w:t>Салыстырылатын жылдарды әртүрлі өлшем бірлігінде беру.</w:t>
      </w:r>
    </w:p>
    <w:p>
      <w:pPr>
        <w:pStyle w:val="a0"/>
        <w:tabs>
          <w:tab w:val="left" w:pos="1134"/>
        </w:tabs>
        <w:ind w:firstLine="491"/>
        <w:jc w:val="both"/>
        <w:rPr>
          <w:szCs w:val="24"/>
        </w:rPr>
      </w:pPr>
      <w:r>
        <w:rPr>
          <w:rFonts w:ascii="Times New Roman" w:hAnsi="Times New Roman" w:cs="Times New Roman" w:eastAsia="Times New Roman"/>
          <w:sz w:val="24"/>
          <w:szCs w:val="24"/>
        </w:rPr>
        <w:t>Жиынтық кіріс пен таза пайданы теңестіру.</w:t>
      </w:r>
    </w:p>
    <w:p>
      <w:pPr>
        <w:pStyle w:val="a0"/>
        <w:tabs>
          <w:tab w:val="left" w:pos="1134"/>
        </w:tabs>
        <w:ind w:firstLine="491"/>
        <w:jc w:val="both"/>
        <w:rPr>
          <w:szCs w:val="24"/>
        </w:rPr>
      </w:pPr>
      <w:r>
        <w:rPr>
          <w:rFonts w:ascii="Times New Roman" w:hAnsi="Times New Roman" w:cs="Times New Roman" w:eastAsia="Times New Roman"/>
          <w:sz w:val="24"/>
          <w:szCs w:val="24"/>
        </w:rPr>
        <w:t>2027 жылғы талап пен ерте қолдану мүмкіндігін араластыру.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Ескертпелер неге негізгі жиынтықтың бөлігі?</w:t>
      </w:r>
    </w:p>
    <w:p>
      <w:pPr>
        <w:spacing w:after="80"/>
        <w:ind w:left="170" w:firstLine="709"/>
        <w:jc w:val="both"/>
        <w:rPr>
          <w:szCs w:val="24"/>
        </w:rPr>
      </w:pPr>
      <w:r>
        <w:rPr>
          <w:rFonts w:ascii="Times New Roman" w:hAnsi="Times New Roman" w:cs="Times New Roman" w:eastAsia="Times New Roman"/>
          <w:sz w:val="24"/>
          <w:szCs w:val="24"/>
        </w:rPr>
        <w:t>2. Қай жағдайда қосымша бастапқы баланс қажет болуы мүмкін?</w:t>
      </w:r>
    </w:p>
    <w:p>
      <w:pPr>
        <w:spacing w:after="80"/>
        <w:ind w:left="170" w:firstLine="709"/>
        <w:jc w:val="both"/>
        <w:rPr>
          <w:szCs w:val="24"/>
        </w:rPr>
      </w:pPr>
      <w:r>
        <w:rPr>
          <w:rFonts w:ascii="Times New Roman" w:hAnsi="Times New Roman" w:cs="Times New Roman" w:eastAsia="Times New Roman"/>
          <w:sz w:val="24"/>
          <w:szCs w:val="24"/>
        </w:rPr>
        <w:t>3. Пайда капиталдағы өзгеріске қалай ауысады?</w:t>
      </w:r>
    </w:p>
    <w:p>
      <w:pPr>
        <w:spacing w:after="80"/>
        <w:ind w:left="170" w:firstLine="709"/>
        <w:jc w:val="both"/>
        <w:rPr>
          <w:szCs w:val="24"/>
        </w:rPr>
      </w:pPr>
      <w:r>
        <w:rPr>
          <w:rFonts w:ascii="Times New Roman" w:hAnsi="Times New Roman" w:cs="Times New Roman" w:eastAsia="Times New Roman"/>
          <w:sz w:val="24"/>
          <w:szCs w:val="24"/>
        </w:rPr>
        <w:t>4. IFRS 18 қай кезеңдерден бастап міндетті?</w:t>
      </w:r>
    </w:p>
    <w:p>
      <w:pPr>
        <w:spacing w:after="80"/>
        <w:ind w:left="170" w:firstLine="709"/>
        <w:jc w:val="both"/>
        <w:rPr>
          <w:szCs w:val="24"/>
        </w:rPr>
      </w:pPr>
      <w:r>
        <w:rPr>
          <w:rFonts w:ascii="Times New Roman" w:hAnsi="Times New Roman" w:cs="Times New Roman" w:eastAsia="Times New Roman"/>
          <w:sz w:val="24"/>
          <w:szCs w:val="24"/>
        </w:rPr>
        <w:t>5. Нысандардағы өзара сілтемелер қандай қатені табуға көмектеседі?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ind w:firstLine="709"/>
        <w:jc w:val="both"/>
        <w:rPr>
          <w:szCs w:val="24"/>
        </w:rPr>
      </w:pPr>
      <w:r>
        <w:rPr>
          <w:rFonts w:ascii="Times New Roman" w:hAnsi="Times New Roman" w:cs="Times New Roman" w:eastAsia="Times New Roman"/>
          <w:sz w:val="24"/>
          <w:szCs w:val="24"/>
        </w:rPr>
        <w:t>Бастапқы капитал 800, пайда 150, өзге жиынтық залал 20, салым 100, дивиденд 40 мың теңге. Соңғы капитал 990 мың теңге: 800 + 150 − 20 + 100 − 40. Таза пайда 150, жиынтық кіріс 130 болады.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60"/>
        <w:ind w:firstLine="709"/>
        <w:jc w:val="both"/>
        <w:rPr>
          <w:szCs w:val="24"/>
        </w:rPr>
      </w:pPr>
      <w:r>
        <w:rPr>
          <w:rFonts w:ascii="Times New Roman" w:hAnsi="Times New Roman" w:cs="Times New Roman" w:eastAsia="Times New Roman"/>
          <w:sz w:val="24"/>
          <w:szCs w:val="24"/>
        </w:rPr>
        <w:t>[Ә2] Нурсеитов, Э.О. МСФО в Казахстане: принципы перехода и применения / Э.О. Нурсеитов, Д.Э. Нурсеитов.- Изд. 2-е, доп. и перераб.- Алматы: LEM, 2013.- 388 с.</w:t>
      </w:r>
    </w:p>
    <w:p>
      <w:pPr>
        <w:spacing w:after="60"/>
        <w:ind w:firstLine="709"/>
        <w:jc w:val="both"/>
        <w:rPr>
          <w:szCs w:val="24"/>
        </w:rPr>
      </w:pPr>
      <w:r>
        <w:rPr>
          <w:rFonts w:ascii="Times New Roman" w:hAnsi="Times New Roman" w:cs="Times New Roman" w:eastAsia="Times New Roman"/>
          <w:sz w:val="24"/>
          <w:szCs w:val="24"/>
        </w:rPr>
        <w:t>[Ә3] Международные стандарты финансовой отчетности в ред. 2026 г.</w:t>
      </w:r>
    </w:p>
    <w:p>
      <w:pPr>
        <w:spacing w:after="60"/>
        <w:ind w:firstLine="709"/>
        <w:jc w:val="both"/>
        <w:rPr>
          <w:szCs w:val="24"/>
        </w:rPr>
      </w:pPr>
      <w:r>
        <w:rPr>
          <w:rFonts w:ascii="Times New Roman" w:hAnsi="Times New Roman" w:cs="Times New Roman" w:eastAsia="Times New Roman"/>
          <w:sz w:val="24"/>
          <w:szCs w:val="24"/>
        </w:rPr>
        <w:t xml:space="preserve">[Ә7] Спиридонов, С. П. Анализ бухгалтерской (финансовой) отчётности : учебное пособие / С. П. Спиридонов, В. И. Меньщикова, И. А. Андреева. — Тамбов : Тамбовский государственный технический университет, ЭБС АСВ, 2021. — 110 c. — ISBN 978-5-8265-2363-6.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Ресми және бастапқы дереккөздер</w:t>
      </w:r>
    </w:p>
    <w:p>
      <w:pPr>
        <w:spacing w:after="60"/>
        <w:ind w:firstLine="709"/>
        <w:jc w:val="both"/>
        <w:rPr>
          <w:szCs w:val="24"/>
        </w:rPr>
      </w:pPr>
      <w:r>
        <w:rPr>
          <w:rFonts w:ascii="Times New Roman" w:hAnsi="Times New Roman" w:cs="Times New Roman" w:eastAsia="Times New Roman"/>
          <w:sz w:val="24"/>
          <w:szCs w:val="24"/>
        </w:rPr>
        <w:t xml:space="preserve">[Н6] IFRS Foundation. IAS 1 Presentation of Financial Statements. </w:t>
      </w:r>
      <w:hyperlink r:id="rId15">
        <w:r>
          <w:rPr>
            <w:rFonts w:ascii="Times New Roman" w:hAnsi="Times New Roman" w:cs="Times New Roman" w:eastAsia="Times New Roman"/>
            <w:u w:val="single"/>
            <w:color w:val="000000"/>
            <w:sz w:val="24"/>
            <w:szCs w:val="24"/>
          </w:rPr>
          <w:t>Дереккөзді ашу</w:t>
        </w:r>
      </w:hyperlink>
    </w:p>
    <w:p>
      <w:pPr>
        <w:spacing w:after="60"/>
        <w:ind w:firstLine="709"/>
        <w:jc w:val="both"/>
        <w:rPr>
          <w:szCs w:val="24"/>
        </w:rPr>
      </w:pPr>
      <w:r>
        <w:rPr>
          <w:rFonts w:ascii="Times New Roman" w:hAnsi="Times New Roman" w:cs="Times New Roman" w:eastAsia="Times New Roman"/>
          <w:sz w:val="24"/>
          <w:szCs w:val="24"/>
        </w:rPr>
        <w:t xml:space="preserve">[Н7] IFRS Foundation. IFRS 18 Presentation and Disclosure in Financial Statements. </w:t>
      </w:r>
      <w:hyperlink r:id="rId16">
        <w:r>
          <w:rPr>
            <w:rFonts w:ascii="Times New Roman" w:hAnsi="Times New Roman" w:cs="Times New Roman" w:eastAsia="Times New Roman"/>
            <w:u w:val="single"/>
            <w:color w:val="000000"/>
            <w:sz w:val="24"/>
            <w:szCs w:val="24"/>
          </w:rPr>
          <w:t>Дереккөзді ашу</w:t>
        </w:r>
      </w:hyperlink>
    </w:p>
    <w:p>
      <w:pPr>
        <w:spacing w:after="60"/>
        <w:ind w:firstLine="709"/>
        <w:jc w:val="both"/>
        <w:rPr>
          <w:szCs w:val="24"/>
        </w:rPr>
      </w:pPr>
      <w:r>
        <w:rPr>
          <w:rFonts w:ascii="Times New Roman" w:hAnsi="Times New Roman" w:cs="Times New Roman" w:eastAsia="Times New Roman"/>
          <w:sz w:val="24"/>
          <w:szCs w:val="24"/>
        </w:rPr>
        <w:t xml:space="preserve">[Н3] IFRS Foundation. IAS 8 Basis of Preparation of Financial Statements. </w:t>
      </w:r>
      <w:hyperlink r:id="rId17">
        <w:r>
          <w:rPr>
            <w:rFonts w:ascii="Times New Roman" w:hAnsi="Times New Roman" w:cs="Times New Roman" w:eastAsia="Times New Roman"/>
            <w:u w:val="single"/>
            <w:color w:val="000000"/>
            <w:sz w:val="24"/>
            <w:szCs w:val="24"/>
          </w:rPr>
          <w:t>Дереккөзді ашу</w:t>
        </w:r>
      </w:hyperlink>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22962.html" TargetMode="External"/><Relationship Id="rId15" Type="http://schemas.openxmlformats.org/officeDocument/2006/relationships/hyperlink" Target="https://www.ifrs.org/issued-standards/list-of-standards/ias-1-presentation-of-financial-statements/" TargetMode="External"/><Relationship Id="rId16" Type="http://schemas.openxmlformats.org/officeDocument/2006/relationships/hyperlink" Target="https://www.ifrs.org/issued-standards/list-of-standards/ifrs-18-presentation-and-disclosure-in-financial-statements/" TargetMode="External"/><Relationship Id="rId17" Type="http://schemas.openxmlformats.org/officeDocument/2006/relationships/hyperlink" Target="https://www.ifrs.org/issued-standards/list-of-standards/ias-8-basis-of-preparation-of-financial-stat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Қаржылық есептіліктің толық жиынтығын ұсыну</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