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80"/>
        <w:ind w:firstLine="709"/>
        <w:jc w:val="both"/>
        <w:rPr>
          <w:szCs w:val="24"/>
        </w:rPr>
      </w:pPr>
      <w:r>
        <w:rPr>
          <w:rFonts w:ascii="Times New Roman" w:hAnsi="Times New Roman" w:cs="Times New Roman" w:eastAsia="Times New Roman"/>
          <w:b/>
          <w:sz w:val="24"/>
          <w:szCs w:val="24"/>
        </w:rPr>
        <w:t>3 ДӘРІС</w:t>
      </w:r>
    </w:p>
    <w:p>
      <w:pPr>
        <w:pStyle w:val="aa"/>
        <w:ind w:firstLine="709"/>
        <w:jc w:val="both"/>
        <w:rPr>
          <w:rFonts w:ascii="Times New Roman" w:hAnsi="Times New Roman" w:cs="Times New Roman"/>
          <w:sz w:val="24"/>
          <w:szCs w:val="24"/>
        </w:rPr>
      </w:pPr>
      <w:r>
        <w:rPr>
          <w:rFonts w:ascii="Times New Roman" w:hAnsi="Times New Roman" w:cs="Times New Roman" w:eastAsia="Times New Roman"/>
          <w:sz w:val="24"/>
          <w:szCs w:val="24"/>
        </w:rPr>
        <w:t>Есеп саясаты, бухгалтерлік бағалаулар және қателер</w:t>
      </w:r>
    </w:p>
    <w:p>
      <w:pPr>
        <w:ind w:firstLine="709"/>
        <w:jc w:val="both"/>
        <w:rPr>
          <w:szCs w:val="24"/>
        </w:rPr>
      </w:pPr>
      <w:r>
        <w:rPr>
          <w:rFonts w:ascii="Times New Roman" w:hAnsi="Times New Roman" w:cs="Times New Roman" w:eastAsia="Times New Roman"/>
          <w:b/>
          <w:sz w:val="24"/>
          <w:szCs w:val="24"/>
        </w:rPr>
        <w:t xml:space="preserve">Дәрістің мақсаты. </w:t>
      </w:r>
      <w:r>
        <w:rPr>
          <w:rFonts w:ascii="Times New Roman" w:hAnsi="Times New Roman" w:cs="Times New Roman" w:eastAsia="Times New Roman"/>
          <w:sz w:val="24"/>
          <w:szCs w:val="24"/>
        </w:rPr>
        <w:t>Есеп саясаты өзгерісін, бағалау өзгерісін және қатені ажырату, сондай-ақ есепті кезеңнен кейінгі оқиғаның әсерін анықтау.</w:t>
      </w:r>
    </w:p>
    <w:p>
      <w:pPr>
        <w:ind w:firstLine="709"/>
        <w:jc w:val="both"/>
        <w:rPr>
          <w:szCs w:val="24"/>
        </w:rPr>
      </w:pPr>
      <w:r>
        <w:rPr>
          <w:rFonts w:ascii="Times New Roman" w:hAnsi="Times New Roman" w:cs="Times New Roman" w:eastAsia="Times New Roman"/>
          <w:b/>
          <w:sz w:val="24"/>
          <w:szCs w:val="24"/>
        </w:rPr>
        <w:t xml:space="preserve">Қарастырылатын сұрақтар. </w:t>
      </w:r>
      <w:r>
        <w:rPr>
          <w:rFonts w:ascii="Times New Roman" w:hAnsi="Times New Roman" w:cs="Times New Roman" w:eastAsia="Times New Roman"/>
          <w:sz w:val="24"/>
          <w:szCs w:val="24"/>
        </w:rPr>
        <w:t>Үш ұғымды ажыратудың қарапайым жолы; Өзгерістерді есептілікте көрсету; Бағалауды өзгерту мысалы; Есепті кезеңнен кейінгі оқиғалар; Қате мен оқиғаны бірге талдау.</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1 Үш ұғымды ажыратудың қарапайым жолы</w:t>
      </w:r>
    </w:p>
    <w:p>
      <w:pPr>
        <w:ind w:firstLine="709"/>
        <w:jc w:val="both"/>
        <w:rPr>
          <w:szCs w:val="24"/>
        </w:rPr>
      </w:pPr>
      <w:r>
        <w:rPr>
          <w:rFonts w:ascii="Times New Roman" w:hAnsi="Times New Roman" w:cs="Times New Roman" w:eastAsia="Times New Roman"/>
          <w:sz w:val="24"/>
          <w:szCs w:val="24"/>
        </w:rPr>
        <w:t>Есеп саясаты — операцияларды есепке алуда қолданылатын қағидаттар мен әдістер. Мысалы, біртекті қорлардың құнын FIFO немесе орташа өлшенген құн әдісімен есептеу — есеп саясаты мәселесі. Бухгалтерлік бағалау — нақты сомасы белгісіз объектіні қолда бар деректер негізінде ақшалай бағалау. Пайдалы қызмет мерзімі мен күтілетін кредиттік залал мөлшері осыған жатады.</w:t>
      </w:r>
    </w:p>
    <w:p>
      <w:pPr>
        <w:ind w:firstLine="709"/>
        <w:jc w:val="both"/>
        <w:rPr>
          <w:szCs w:val="24"/>
        </w:rPr>
      </w:pPr>
      <w:r>
        <w:rPr>
          <w:rFonts w:ascii="Times New Roman" w:hAnsi="Times New Roman" w:cs="Times New Roman" w:eastAsia="Times New Roman"/>
          <w:sz w:val="24"/>
          <w:szCs w:val="24"/>
        </w:rPr>
        <w:t>Қате — бұрын қолжетімді болған сенімді ақпаратты пайдаланбаудан немесе дұрыс қолданбаудан туындаған бұрмалау. Ұмыт қалған шот-фактура немесе арифметикалық қате жаңа бағалау болып саналмайды. Айырманы анықтайтын негізгі сұрақ: «Бұрын қандай ақпарат бар еді, ал қазір қандай жаңа ақпарат пайда болды?»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2 Өзгерістерді есептілікте көрсету</w:t>
      </w:r>
    </w:p>
    <w:p>
      <w:pPr>
        <w:ind w:firstLine="709"/>
        <w:jc w:val="both"/>
        <w:rPr>
          <w:szCs w:val="24"/>
        </w:rPr>
      </w:pPr>
      <w:r>
        <w:rPr>
          <w:rFonts w:ascii="Times New Roman" w:hAnsi="Times New Roman" w:cs="Times New Roman" w:eastAsia="Times New Roman"/>
          <w:sz w:val="24"/>
          <w:szCs w:val="24"/>
        </w:rPr>
        <w:t>Стандарт арнайы өтпелі ереже белгілемесе, есеп саясатының өзгерісі әдетте ретроспективті қолданылады. Бұл салыстырмалы деректерді жаңа саясат бұрыннан қолданылғандай қайта есептеуді білдіреді. Мұндай өзгеріс стандарт талабымен немесе ақпараттың сапасын жақсартумен негізделуге тиіс. Пайданы ыңғайлы етіп көрсету үшін әдісті себепсіз ауыстыруға болмайды.</w:t>
      </w:r>
    </w:p>
    <w:p>
      <w:pPr>
        <w:ind w:firstLine="709"/>
        <w:jc w:val="both"/>
        <w:rPr>
          <w:szCs w:val="24"/>
        </w:rPr>
      </w:pPr>
      <w:r>
        <w:rPr>
          <w:rFonts w:ascii="Times New Roman" w:hAnsi="Times New Roman" w:cs="Times New Roman" w:eastAsia="Times New Roman"/>
          <w:sz w:val="24"/>
          <w:szCs w:val="24"/>
        </w:rPr>
        <w:t>Бағалау өзгерісі перспективті көрсетіледі: оның әсері өзгеріс жасалған кезеңде және қажет болса болашақ кезеңдерде танылады. Өткен кезеңдердің елеулі қатесі, әсерін анықтау мүмкін болғанда, салыстырмалы сомаларды қайта есептеу арқылы түзетіледі. Практикалық мүмкін еместік — жай ғана жұмыстың көптігі емес, стандарттағы талаптарға сай бағаланатын жағдай. [Н3]</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030"/>
        <w:gridCol w:w="3219"/>
        <w:gridCol w:w="3219"/>
      </w:tblGrid>
      <w:tr>
        <w:trPr>
          <w:tblHeader/>
          <w:cantSplit/>
        </w:trPr>
        <w:tc>
          <w:tcPr>
            <w:tcW w:type="dxa" w:w="3030"/>
            <w:vAlign w:val="center"/>
            <w:shd w:fill="E9EEF4"/>
          </w:tcPr>
          <w:p>
            <w:pPr>
              <w:spacing w:line="252" w:lineRule="auto" w:after="20"/>
            </w:pPr>
            <w:r>
              <w:rPr>
                <w:rFonts w:ascii="Times New Roman" w:hAnsi="Times New Roman" w:cs="Times New Roman" w:eastAsia="Times New Roman"/>
                <w:b/>
                <w:sz w:val="24"/>
                <w:szCs w:val="24"/>
              </w:rPr>
              <w:t>Жағдай</w:t>
            </w:r>
          </w:p>
        </w:tc>
        <w:tc>
          <w:tcPr>
            <w:tcW w:type="dxa" w:w="3219"/>
            <w:vAlign w:val="center"/>
            <w:shd w:fill="E9EEF4"/>
          </w:tcPr>
          <w:p>
            <w:pPr>
              <w:spacing w:line="252" w:lineRule="auto" w:after="20"/>
            </w:pPr>
            <w:r>
              <w:rPr>
                <w:rFonts w:ascii="Times New Roman" w:hAnsi="Times New Roman" w:cs="Times New Roman" w:eastAsia="Times New Roman"/>
                <w:b/>
                <w:sz w:val="24"/>
                <w:szCs w:val="24"/>
              </w:rPr>
              <w:t>Негізгі белгі</w:t>
            </w:r>
          </w:p>
        </w:tc>
        <w:tc>
          <w:tcPr>
            <w:tcW w:type="dxa" w:w="3219"/>
            <w:vAlign w:val="center"/>
            <w:shd w:fill="E9EEF4"/>
          </w:tcPr>
          <w:p>
            <w:pPr>
              <w:spacing w:line="252" w:lineRule="auto" w:after="20"/>
            </w:pPr>
            <w:r>
              <w:rPr>
                <w:rFonts w:ascii="Times New Roman" w:hAnsi="Times New Roman" w:cs="Times New Roman" w:eastAsia="Times New Roman"/>
                <w:b/>
                <w:sz w:val="24"/>
                <w:szCs w:val="24"/>
              </w:rPr>
              <w:t>Жалпы көрсету тәсілі</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Есеп саясаты өзгерісі</w:t>
            </w:r>
          </w:p>
        </w:tc>
        <w:tc>
          <w:tcPr>
            <w:tcW w:type="dxa" w:w="3219"/>
            <w:vAlign w:val="center"/>
          </w:tcPr>
          <w:p>
            <w:pPr>
              <w:spacing w:line="252" w:lineRule="auto" w:after="20"/>
            </w:pPr>
            <w:r>
              <w:rPr>
                <w:rFonts w:ascii="Times New Roman" w:hAnsi="Times New Roman" w:cs="Times New Roman" w:eastAsia="Times New Roman"/>
                <w:sz w:val="24"/>
                <w:szCs w:val="24"/>
              </w:rPr>
              <w:t>Қолданылатын қағида не әдіс өзгереді</w:t>
            </w:r>
          </w:p>
        </w:tc>
        <w:tc>
          <w:tcPr>
            <w:tcW w:type="dxa" w:w="3219"/>
            <w:vAlign w:val="center"/>
          </w:tcPr>
          <w:p>
            <w:pPr>
              <w:spacing w:line="252" w:lineRule="auto" w:after="20"/>
            </w:pPr>
            <w:r>
              <w:rPr>
                <w:rFonts w:ascii="Times New Roman" w:hAnsi="Times New Roman" w:cs="Times New Roman" w:eastAsia="Times New Roman"/>
                <w:sz w:val="24"/>
                <w:szCs w:val="24"/>
              </w:rPr>
              <w:t>Ретроспективті немесе арнайы өтпелі ереже</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Бағалау өзгерісі</w:t>
            </w:r>
          </w:p>
        </w:tc>
        <w:tc>
          <w:tcPr>
            <w:tcW w:type="dxa" w:w="3219"/>
            <w:vAlign w:val="center"/>
          </w:tcPr>
          <w:p>
            <w:pPr>
              <w:spacing w:line="252" w:lineRule="auto" w:after="20"/>
            </w:pPr>
            <w:r>
              <w:rPr>
                <w:rFonts w:ascii="Times New Roman" w:hAnsi="Times New Roman" w:cs="Times New Roman" w:eastAsia="Times New Roman"/>
                <w:sz w:val="24"/>
                <w:szCs w:val="24"/>
              </w:rPr>
              <w:t>Жаңа ақпаратпен сома нақтыланады</w:t>
            </w:r>
          </w:p>
        </w:tc>
        <w:tc>
          <w:tcPr>
            <w:tcW w:type="dxa" w:w="3219"/>
            <w:vAlign w:val="center"/>
          </w:tcPr>
          <w:p>
            <w:pPr>
              <w:spacing w:line="252" w:lineRule="auto" w:after="20"/>
            </w:pPr>
            <w:r>
              <w:rPr>
                <w:rFonts w:ascii="Times New Roman" w:hAnsi="Times New Roman" w:cs="Times New Roman" w:eastAsia="Times New Roman"/>
                <w:sz w:val="24"/>
                <w:szCs w:val="24"/>
              </w:rPr>
              <w:t>Ағымдағы және болашақ кезеңдер</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Өткен кезең қатесі</w:t>
            </w:r>
          </w:p>
        </w:tc>
        <w:tc>
          <w:tcPr>
            <w:tcW w:type="dxa" w:w="3219"/>
            <w:vAlign w:val="center"/>
          </w:tcPr>
          <w:p>
            <w:pPr>
              <w:spacing w:line="252" w:lineRule="auto" w:after="20"/>
            </w:pPr>
            <w:r>
              <w:rPr>
                <w:rFonts w:ascii="Times New Roman" w:hAnsi="Times New Roman" w:cs="Times New Roman" w:eastAsia="Times New Roman"/>
                <w:sz w:val="24"/>
                <w:szCs w:val="24"/>
              </w:rPr>
              <w:t>Бұрынғы ақпарат дұрыс қолданылмаған</w:t>
            </w:r>
          </w:p>
        </w:tc>
        <w:tc>
          <w:tcPr>
            <w:tcW w:type="dxa" w:w="3219"/>
            <w:vAlign w:val="center"/>
          </w:tcPr>
          <w:p>
            <w:pPr>
              <w:spacing w:line="252" w:lineRule="auto" w:after="20"/>
            </w:pPr>
            <w:r>
              <w:rPr>
                <w:rFonts w:ascii="Times New Roman" w:hAnsi="Times New Roman" w:cs="Times New Roman" w:eastAsia="Times New Roman"/>
                <w:sz w:val="24"/>
                <w:szCs w:val="24"/>
              </w:rPr>
              <w:t>Елеулі болса ретроспективті түзету</w:t>
            </w:r>
          </w:p>
        </w:tc>
      </w:tr>
    </w:tbl>
    <w:p>
      <w:pPr>
        <w:ind w:firstLine="709"/>
        <w:jc w:val="both"/>
        <w:rPr>
          <w:szCs w:val="24"/>
        </w:rPr>
      </w:pP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3 Бағалауды өзгерту мысалы</w:t>
      </w:r>
    </w:p>
    <w:p>
      <w:pPr>
        <w:ind w:firstLine="709"/>
        <w:jc w:val="both"/>
        <w:rPr>
          <w:szCs w:val="24"/>
        </w:rPr>
      </w:pPr>
      <w:r>
        <w:rPr>
          <w:rFonts w:ascii="Times New Roman" w:hAnsi="Times New Roman" w:cs="Times New Roman" w:eastAsia="Times New Roman"/>
          <w:sz w:val="24"/>
          <w:szCs w:val="24"/>
        </w:rPr>
        <w:t>Станоктың ағымдағы баланстық құны 9 000, қалдық құны 1 000 мың теңге. Қалған қызмет мерзімі бұрын бес жыл деп бағаланған. Жаңа техникалық қорытынды оны төрт жылға қысқартты. Бұрынғы қалған жылдық амортизация 1 600, жаңадан есептелетін жылдық амортизация 2 000 мың теңге болады.</w:t>
      </w:r>
    </w:p>
    <w:p>
      <w:pPr>
        <w:ind w:firstLine="709"/>
        <w:jc w:val="both"/>
        <w:rPr>
          <w:szCs w:val="24"/>
        </w:rPr>
        <w:keepNext/>
      </w:pPr>
      <w:r>
        <w:rPr>
          <w:rFonts w:ascii="Times New Roman" w:hAnsi="Times New Roman" w:cs="Times New Roman" w:eastAsia="Times New Roman"/>
          <w:b/>
          <w:sz w:val="24"/>
          <w:szCs w:val="24"/>
        </w:rPr>
        <w:t>Жаңа жылдық амортизация</w:t>
      </w:r>
    </w:p>
    <w:p>
      <w:pPr>
        <w:ind w:firstLine="709"/>
        <w:jc w:val="both"/>
        <w:rPr>
          <w:szCs w:val="24"/>
        </w:rPr>
      </w:pPr>
      <m:oMath>
        <m:f>
          <m:num>
            <m:r>
              <m:rPr>
                <m:nor/>
              </m:rPr>
              <w:rPr>
                <w:rFonts w:ascii="Times New Roman" w:hAnsi="Times New Roman"/>
                <w:sz w:val="22"/>
              </w:rPr>
              <m:t xml:space="preserve">9 000 − 1 000</m:t>
            </m:r>
          </m:num>
          <m:den>
            <m:r>
              <m:rPr>
                <m:nor/>
              </m:rPr>
              <w:rPr>
                <w:rFonts w:ascii="Times New Roman" w:hAnsi="Times New Roman"/>
                <w:sz w:val="22"/>
              </w:rPr>
              <m:t xml:space="preserve">4</m:t>
            </m:r>
          </m:den>
        </m:f>
        <m:r>
          <m:rPr>
            <m:nor/>
          </m:rPr>
          <w:rPr>
            <w:rFonts w:ascii="Times New Roman" w:hAnsi="Times New Roman"/>
            <w:sz w:val="22"/>
          </w:rPr>
          <m:t xml:space="preserve"> = 2 000 мың теңге</m:t>
        </m:r>
      </m:oMath>
    </w:p>
    <w:p>
      <w:pPr>
        <w:ind w:firstLine="709"/>
        <w:jc w:val="both"/>
        <w:rPr>
          <w:szCs w:val="24"/>
        </w:rPr>
      </w:pPr>
      <w:r>
        <w:rPr>
          <w:rFonts w:ascii="Times New Roman" w:hAnsi="Times New Roman" w:cs="Times New Roman" w:eastAsia="Times New Roman"/>
          <w:sz w:val="24"/>
          <w:szCs w:val="24"/>
        </w:rPr>
        <w:t>Бұл өткен жылдары міндетті түрде қате болғанын білдірмейді: жаңа ақпарат болашақ пайдалану туралы бағалауды өзгертті. Сондықтан бұрынғы амортизация қайта жазылмайды. Ал станоктың сатып алу құны бұрын құжаттан қате көшірілген болса, мәселе бағалау өзгерісі емес, қате ретінде қаралады.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4 Есепті кезеңнен кейінгі оқиғалар</w:t>
      </w:r>
    </w:p>
    <w:p>
      <w:pPr>
        <w:ind w:firstLine="709"/>
        <w:jc w:val="both"/>
        <w:rPr>
          <w:szCs w:val="24"/>
        </w:rPr>
      </w:pPr>
      <w:r>
        <w:rPr>
          <w:rFonts w:ascii="Times New Roman" w:hAnsi="Times New Roman" w:cs="Times New Roman" w:eastAsia="Times New Roman"/>
          <w:sz w:val="24"/>
          <w:szCs w:val="24"/>
        </w:rPr>
        <w:t>IAS 10 есепті кезең аяқталған күн мен есептілікті шығаруға бекіту күні арасындағы оқиғаларды қарастырады. Түзетілетін оқиға есепті күнде болған жағдайды растайды. Түзетілмейтін оқиға кейін пайда болған жаңа жағдайды көрсетеді. Екіншісі маңызды болса, оның сипаты мен қаржылық әсері туралы ақпарат ашылады. [Н5]</w:t>
      </w:r>
    </w:p>
    <w:p>
      <w:pPr>
        <w:ind w:firstLine="709"/>
        <w:jc w:val="both"/>
        <w:rPr>
          <w:szCs w:val="24"/>
        </w:rPr>
      </w:pPr>
      <w:r>
        <w:rPr>
          <w:rFonts w:ascii="Times New Roman" w:hAnsi="Times New Roman" w:cs="Times New Roman" w:eastAsia="Times New Roman"/>
          <w:sz w:val="24"/>
          <w:szCs w:val="24"/>
        </w:rPr>
        <w:t>Мысалы, есепті күн — 31 желтоқсан, бекіту күні — 15 наурыз. Клиенттің ақпанда банкротқа ұшырауы оның желтоқсанда болған қаржылық қиындығын растаса, дебиторлық берешекті бағалау түзетіледі. Қаңтарда болған жаңа өрт желтоқсандағы активтердің жағдайын өзгертпейді, бірақ әсері елеулі болса түсіндіріледі. Есепті күннен кейін жарияланған дивиденд сол күнде міндеттеме ретінде танылмайды.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5 Қате мен оқиғаны бірге талдау</w:t>
      </w:r>
    </w:p>
    <w:p>
      <w:pPr>
        <w:ind w:firstLine="709"/>
        <w:jc w:val="both"/>
        <w:rPr>
          <w:szCs w:val="24"/>
        </w:rPr>
      </w:pPr>
      <w:r>
        <w:rPr>
          <w:rFonts w:ascii="Times New Roman" w:hAnsi="Times New Roman" w:cs="Times New Roman" w:eastAsia="Times New Roman"/>
          <w:sz w:val="24"/>
          <w:szCs w:val="24"/>
        </w:rPr>
        <w:t>2026 жылы қабылданған 100 мың теңгелік жөндеу қызметінің актісі есепке алынбаған. Акт сол кезде бухгалтерияда болған, қате 2027 жылы табылды. Егер ол елеулі болса, 2026 жылғы салыстырмалы шығыстар мен міндеттеме түзетіледі, ал 2027 жылдың бастапқы бөлінбеген пайдасына тиісті әсер көрсетіледі. Салық әсерін ескермегенде капитал 100-ге кемиді, міндеттеме 100-ге өседі.</w:t>
      </w:r>
    </w:p>
    <w:p>
      <w:pPr>
        <w:ind w:firstLine="709"/>
        <w:jc w:val="both"/>
        <w:rPr>
          <w:szCs w:val="24"/>
        </w:rPr>
      </w:pPr>
      <w:r>
        <w:rPr>
          <w:rFonts w:ascii="Times New Roman" w:hAnsi="Times New Roman" w:cs="Times New Roman" w:eastAsia="Times New Roman"/>
          <w:sz w:val="24"/>
          <w:szCs w:val="24"/>
        </w:rPr>
        <w:t>Шешімнің негізін жазу маңызды: объектінің сипаты, бастапқы ақпараттың қолжетімділігі, маңыздылық бағасы және таңдалған көрсету тәсілі түсіндіріледі. «Қате табылды» деген жалғыз сөйлем пайдаланушыға қандай көрсеткіш өзгергенін түсіндірмейді.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Жиі кездесетін қателер</w:t>
      </w:r>
    </w:p>
    <w:p>
      <w:pPr>
        <w:pStyle w:val="a0"/>
        <w:tabs>
          <w:tab w:val="left" w:pos="1134"/>
        </w:tabs>
        <w:ind w:firstLine="491"/>
        <w:jc w:val="both"/>
        <w:rPr>
          <w:szCs w:val="24"/>
        </w:rPr>
      </w:pPr>
      <w:r>
        <w:rPr>
          <w:rFonts w:ascii="Times New Roman" w:hAnsi="Times New Roman" w:cs="Times New Roman" w:eastAsia="Times New Roman"/>
          <w:sz w:val="24"/>
          <w:szCs w:val="24"/>
        </w:rPr>
        <w:t>Қате түзетуді жаңа бағалау деп атау.</w:t>
      </w:r>
    </w:p>
    <w:p>
      <w:pPr>
        <w:pStyle w:val="a0"/>
        <w:tabs>
          <w:tab w:val="left" w:pos="1134"/>
        </w:tabs>
        <w:ind w:firstLine="491"/>
        <w:jc w:val="both"/>
        <w:rPr>
          <w:szCs w:val="24"/>
        </w:rPr>
      </w:pPr>
      <w:r>
        <w:rPr>
          <w:rFonts w:ascii="Times New Roman" w:hAnsi="Times New Roman" w:cs="Times New Roman" w:eastAsia="Times New Roman"/>
          <w:sz w:val="24"/>
          <w:szCs w:val="24"/>
        </w:rPr>
        <w:t>Бағалау өзгерген сайын өткен есептілікті қайта есептеу.</w:t>
      </w:r>
    </w:p>
    <w:p>
      <w:pPr>
        <w:pStyle w:val="a0"/>
        <w:tabs>
          <w:tab w:val="left" w:pos="1134"/>
        </w:tabs>
        <w:ind w:firstLine="491"/>
        <w:jc w:val="both"/>
        <w:rPr>
          <w:szCs w:val="24"/>
        </w:rPr>
      </w:pPr>
      <w:r>
        <w:rPr>
          <w:rFonts w:ascii="Times New Roman" w:hAnsi="Times New Roman" w:cs="Times New Roman" w:eastAsia="Times New Roman"/>
          <w:sz w:val="24"/>
          <w:szCs w:val="24"/>
        </w:rPr>
        <w:t>Есепті күннен кейінгі барлық оқиғаны автоматты түрде түзету.</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Бақылау сұрақтары</w:t>
      </w:r>
    </w:p>
    <w:p>
      <w:pPr>
        <w:spacing w:after="80"/>
        <w:ind w:left="170" w:firstLine="709"/>
        <w:jc w:val="both"/>
        <w:rPr>
          <w:szCs w:val="24"/>
        </w:rPr>
      </w:pPr>
      <w:r>
        <w:rPr>
          <w:rFonts w:ascii="Times New Roman" w:hAnsi="Times New Roman" w:cs="Times New Roman" w:eastAsia="Times New Roman"/>
          <w:sz w:val="24"/>
          <w:szCs w:val="24"/>
        </w:rPr>
        <w:t>1. FIFO-дан орташа құнға көшу қандай өзгеріс?</w:t>
      </w:r>
    </w:p>
    <w:p>
      <w:pPr>
        <w:spacing w:after="80"/>
        <w:ind w:left="170" w:firstLine="709"/>
        <w:jc w:val="both"/>
        <w:rPr>
          <w:szCs w:val="24"/>
        </w:rPr>
      </w:pPr>
      <w:r>
        <w:rPr>
          <w:rFonts w:ascii="Times New Roman" w:hAnsi="Times New Roman" w:cs="Times New Roman" w:eastAsia="Times New Roman"/>
          <w:sz w:val="24"/>
          <w:szCs w:val="24"/>
        </w:rPr>
        <w:t>2. Пайдалы қызмет мерзімі неге бағалауға жатады?</w:t>
      </w:r>
    </w:p>
    <w:p>
      <w:pPr>
        <w:spacing w:after="80"/>
        <w:ind w:left="170" w:firstLine="709"/>
        <w:jc w:val="both"/>
        <w:rPr>
          <w:szCs w:val="24"/>
        </w:rPr>
      </w:pPr>
      <w:r>
        <w:rPr>
          <w:rFonts w:ascii="Times New Roman" w:hAnsi="Times New Roman" w:cs="Times New Roman" w:eastAsia="Times New Roman"/>
          <w:sz w:val="24"/>
          <w:szCs w:val="24"/>
        </w:rPr>
        <w:t>3. Түзетілетін оқиғаның басты белгісі қандай?</w:t>
      </w:r>
    </w:p>
    <w:p>
      <w:pPr>
        <w:spacing w:after="80"/>
        <w:ind w:left="170" w:firstLine="709"/>
        <w:jc w:val="both"/>
        <w:rPr>
          <w:szCs w:val="24"/>
        </w:rPr>
      </w:pPr>
      <w:r>
        <w:rPr>
          <w:rFonts w:ascii="Times New Roman" w:hAnsi="Times New Roman" w:cs="Times New Roman" w:eastAsia="Times New Roman"/>
          <w:sz w:val="24"/>
          <w:szCs w:val="24"/>
        </w:rPr>
        <w:t>4. Елеулі қатені түзетуде салыстырмалы ақпарат не үшін керек?</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Өзіңізді тексеріңіз</w:t>
      </w:r>
    </w:p>
    <w:p>
      <w:pPr>
        <w:ind w:firstLine="709"/>
        <w:jc w:val="both"/>
        <w:rPr>
          <w:szCs w:val="24"/>
        </w:rPr>
      </w:pPr>
      <w:r>
        <w:rPr>
          <w:rFonts w:ascii="Times New Roman" w:hAnsi="Times New Roman" w:cs="Times New Roman" w:eastAsia="Times New Roman"/>
          <w:sz w:val="24"/>
          <w:szCs w:val="24"/>
        </w:rPr>
        <w:t>Қаңтардағы дауыл желтоқсанда жарамды болған қойманы бұзды. Бұл түзетілмейтін оқиға; елеулі әсері ашып көрсетіледі. Алайда оның салдары қызметтің үздіксіздігіне қауіп төндірсе, есептілікті дайындау негізі де бағаланады.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Тақырып бойынша ұсынылатын әдебиеттер</w:t>
      </w:r>
    </w:p>
    <w:p>
      <w:pPr>
        <w:spacing w:after="60"/>
        <w:ind w:firstLine="709"/>
        <w:jc w:val="both"/>
        <w:rPr>
          <w:szCs w:val="24"/>
        </w:rPr>
      </w:pPr>
      <w:r>
        <w:rPr>
          <w:rFonts w:ascii="Times New Roman" w:hAnsi="Times New Roman" w:cs="Times New Roman" w:eastAsia="Times New Roman"/>
          <w:sz w:val="24"/>
          <w:szCs w:val="24"/>
        </w:rPr>
        <w:t>[Ә2] Нурсеитов, Э.О. МСФО в Казахстане: принципы перехода и применения / Э.О. Нурсеитов, Д.Э. Нурсеитов.- Изд. 2-е, доп. и перераб.- Алматы: LEM, 2013.- 388 с.</w:t>
      </w:r>
    </w:p>
    <w:p>
      <w:pPr>
        <w:spacing w:after="60"/>
        <w:ind w:firstLine="709"/>
        <w:jc w:val="both"/>
        <w:rPr>
          <w:szCs w:val="24"/>
        </w:rPr>
      </w:pPr>
      <w:r>
        <w:rPr>
          <w:rFonts w:ascii="Times New Roman" w:hAnsi="Times New Roman" w:cs="Times New Roman" w:eastAsia="Times New Roman"/>
          <w:sz w:val="24"/>
          <w:szCs w:val="24"/>
        </w:rPr>
        <w:t>[Ә3] Международные стандарты финансовой отчетности в ред. 2026 г.</w:t>
      </w:r>
    </w:p>
    <w:p>
      <w:pPr>
        <w:spacing w:after="60"/>
        <w:ind w:firstLine="709"/>
        <w:jc w:val="both"/>
        <w:rPr>
          <w:szCs w:val="24"/>
        </w:rPr>
      </w:pPr>
      <w:r>
        <w:rPr>
          <w:rFonts w:ascii="Times New Roman" w:hAnsi="Times New Roman" w:cs="Times New Roman" w:eastAsia="Times New Roman"/>
          <w:sz w:val="24"/>
          <w:szCs w:val="24"/>
        </w:rPr>
        <w:t xml:space="preserve">[Ә7] Спиридонов, С. П. Анализ бухгалтерской (финансовой) отчётности : учебное пособие / С. П. Спиридонов, В. И. Меньщикова, И. А. Андреева. — Тамбов : Тамбовский государственный технический университет, ЭБС АСВ, 2021. — 110 c. — ISBN 978-5-8265-2363-6. — Текст : электронный // Цифровой образовательный ресурс IPR SMART : [сайт]. </w:t>
      </w:r>
      <w:hyperlink r:id="rId14">
        <w:r>
          <w:rPr>
            <w:rFonts w:ascii="Times New Roman" w:hAnsi="Times New Roman" w:cs="Times New Roman" w:eastAsia="Times New Roman"/>
            <w:u w:val="single"/>
            <w:color w:val="000000"/>
            <w:sz w:val="24"/>
            <w:szCs w:val="24"/>
          </w:rPr>
          <w:t>Электрондық каталог</w:t>
        </w:r>
      </w:hyperlink>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Ресми және бастапқы дереккөздер</w:t>
      </w:r>
    </w:p>
    <w:p>
      <w:pPr>
        <w:spacing w:after="60"/>
        <w:ind w:firstLine="709"/>
        <w:jc w:val="both"/>
        <w:rPr>
          <w:szCs w:val="24"/>
        </w:rPr>
      </w:pPr>
      <w:r>
        <w:rPr>
          <w:rFonts w:ascii="Times New Roman" w:hAnsi="Times New Roman" w:cs="Times New Roman" w:eastAsia="Times New Roman"/>
          <w:sz w:val="24"/>
          <w:szCs w:val="24"/>
        </w:rPr>
        <w:t xml:space="preserve">[Н3] IFRS Foundation. IAS 8 Basis of Preparation of Financial Statements. </w:t>
      </w:r>
      <w:hyperlink r:id="rId15">
        <w:r>
          <w:rPr>
            <w:rFonts w:ascii="Times New Roman" w:hAnsi="Times New Roman" w:cs="Times New Roman" w:eastAsia="Times New Roman"/>
            <w:u w:val="single"/>
            <w:color w:val="000000"/>
            <w:sz w:val="24"/>
            <w:szCs w:val="24"/>
          </w:rPr>
          <w:t>Дереккөзді ашу</w:t>
        </w:r>
      </w:hyperlink>
    </w:p>
    <w:p>
      <w:pPr>
        <w:spacing w:after="60"/>
        <w:ind w:firstLine="709"/>
        <w:jc w:val="both"/>
        <w:rPr>
          <w:szCs w:val="24"/>
        </w:rPr>
      </w:pPr>
      <w:r>
        <w:rPr>
          <w:rFonts w:ascii="Times New Roman" w:hAnsi="Times New Roman" w:cs="Times New Roman" w:eastAsia="Times New Roman"/>
          <w:sz w:val="24"/>
          <w:szCs w:val="24"/>
        </w:rPr>
        <w:t xml:space="preserve">[Н5] IFRS Foundation. IAS 10 Events after the Reporting Period. </w:t>
      </w:r>
      <w:hyperlink r:id="rId16">
        <w:r>
          <w:rPr>
            <w:rFonts w:ascii="Times New Roman" w:hAnsi="Times New Roman" w:cs="Times New Roman" w:eastAsia="Times New Roman"/>
            <w:u w:val="single"/>
            <w:color w:val="000000"/>
            <w:sz w:val="24"/>
            <w:szCs w:val="24"/>
          </w:rPr>
          <w:t>Дереккөзді ашу</w:t>
        </w:r>
      </w:hyperlink>
    </w:p>
    <w:sectPr w:rsidR="008832B7" w:rsidRPr="00285FFA" w:rsidSect="00034616">
      <w:footerReference w:type="default" r:id="rId11"/>
      <w:pgSz w:w="11906" w:h="16838"/>
      <w:pgMar w:top="1134" w:right="1134" w:bottom="1134" w:left="1304"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8C0" w:rsidRDefault="006828C0">
      <w:pPr>
        <w:spacing w:after="0" w:line="240" w:lineRule="auto"/>
      </w:pPr>
      <w:r>
        <w:separator/>
      </w:r>
    </w:p>
  </w:endnote>
  <w:endnote w:type="continuationSeparator" w:id="0">
    <w:p w:rsidR="006828C0" w:rsidRDefault="0068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2B7" w:rsidRDefault="006828C0">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8C0" w:rsidRDefault="006828C0">
      <w:pPr>
        <w:spacing w:after="0" w:line="240" w:lineRule="auto"/>
      </w:pPr>
      <w:r>
        <w:separator/>
      </w:r>
    </w:p>
  </w:footnote>
  <w:footnote w:type="continuationSeparator" w:id="0">
    <w:p w:rsidR="006828C0" w:rsidRDefault="00682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B0E"/>
    <w:rsid w:val="000A5FE7"/>
    <w:rsid w:val="0015074B"/>
    <w:rsid w:val="00226DD7"/>
    <w:rsid w:val="00285FFA"/>
    <w:rsid w:val="0029639D"/>
    <w:rsid w:val="00326F90"/>
    <w:rsid w:val="006828C0"/>
    <w:rsid w:val="008832B7"/>
    <w:rsid w:val="00AA1D8D"/>
    <w:rsid w:val="00B47730"/>
    <w:rsid w:val="00B93A4F"/>
    <w:rsid w:val="00CB0664"/>
    <w:rsid w:val="00E111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CD36D"/>
  <w14:defaultImageDpi w14:val="300"/>
  <w15:docId w15:val="{993F3D0F-53E7-432A-AA21-12E8BE20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64" w:lineRule="auto"/>
    </w:pPr>
    <w:rPr>
      <w:rFonts w:ascii="Times New Roman" w:eastAsia="Times New Roman" w:hAnsi="Times New Roman" w:cs="Times New Roman"/>
      <w:color w:val="000000"/>
      <w:sz w:val="24"/>
      <w:lang w:val="kk-KZ"/>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bookshop.ru/123545.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ilet.zan.kz/kaz/docs/Z070000234_" TargetMode="External"/><Relationship Id="rId4" Type="http://schemas.openxmlformats.org/officeDocument/2006/relationships/settings" Target="settings.xml"/><Relationship Id="rId9" Type="http://schemas.openxmlformats.org/officeDocument/2006/relationships/hyperlink" Target="https://www.ifrs.org/issued-standards/list-of-standards/conceptual-framework/" TargetMode="External"/><Relationship Id="rId14" Type="http://schemas.openxmlformats.org/officeDocument/2006/relationships/hyperlink" Target="https://www.iprbookshop.ru/122962.html" TargetMode="External"/><Relationship Id="rId15" Type="http://schemas.openxmlformats.org/officeDocument/2006/relationships/hyperlink" Target="https://www.ifrs.org/issued-standards/list-of-standards/ias-8-basis-of-preparation-of-financial-statements/" TargetMode="External"/><Relationship Id="rId16" Type="http://schemas.openxmlformats.org/officeDocument/2006/relationships/hyperlink" Target="https://www.ifrs.org/issued-standards/list-of-standards/ias-10-events-after-the-reporting-peri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40BCA-429B-43FA-8F9E-8A879714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5608</Characters>
  <Application>Microsoft Office Word</Application>
  <DocSecurity>0</DocSecurity>
  <Lines>46</Lines>
  <Paragraphs>13</Paragraphs>
  <ScaleCrop>false</ScaleCrop>
  <HeadingPairs>
    <vt:vector size="6" baseType="variant">
      <vt:variant>
        <vt:lpstr>Название</vt:lpstr>
      </vt:variant>
      <vt:variant>
        <vt:i4>1</vt:i4>
      </vt:variant>
      <vt:variant>
        <vt:lpstr>Заголовки</vt:lpstr>
      </vt:variant>
      <vt:variant>
        <vt:i4>10</vt:i4>
      </vt:variant>
      <vt:variant>
        <vt:lpstr>Title</vt:lpstr>
      </vt:variant>
      <vt:variant>
        <vt:i4>1</vt:i4>
      </vt:variant>
    </vt:vector>
  </HeadingPairs>
  <TitlesOfParts>
    <vt:vector size="12" baseType="lpstr">
      <vt:lpstr>1 дәріс Қаржылық есептіліктің тұжырымдамалық және нормативтік негіздері</vt:lpstr>
      <vt:lpstr>1 Қаржылық есептілік қандай сұрақтарға жауап береді</vt:lpstr>
      <vt:lpstr>2 Есептіліктің бес элементі</vt:lpstr>
      <vt:lpstr>3 Пайдалы ақпараттың сапасы</vt:lpstr>
      <vt:lpstr>4 Тану, бағалау және Қазақстандағы реттеу</vt:lpstr>
      <vt:lpstr>5 Операцияны түсіндіретін мысал</vt:lpstr>
      <vt:lpstr>Жиі кездесетін қателер</vt:lpstr>
      <vt:lpstr>Бақылау сұрақтары</vt:lpstr>
      <vt:lpstr>Өзіңізді тексеріңіз</vt:lpstr>
      <vt:lpstr>Тақырып бойынша ұсынылатын әдебиеттер</vt:lpstr>
      <vt:lpstr>Ресми және бастапқы дереккөздер</vt:lpstr>
      <vt:lpstr/>
    </vt:vector>
  </TitlesOfParts>
  <Manager/>
  <Company/>
  <LinksUpToDate>false</LinksUpToDate>
  <CharactersWithSpaces>6578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Есеп саясаты, бухгалтерлік бағалаулар және қателер</dc:title>
  <dc:subject>Қаржылық есептілікті жасау және талдау</dc:subject>
  <dc:creator>Гульжан Байтикенова</dc:creator>
  <cp:keywords/>
  <dc:description>generated by python-docx</dc:description>
  <cp:lastModifiedBy>Гульжан Байтикенова</cp:lastModifiedBy>
  <cp:revision>3</cp:revision>
  <dcterms:created xsi:type="dcterms:W3CDTF">2026-10-21T06:13:00Z</dcterms:created>
  <dcterms:modified xsi:type="dcterms:W3CDTF">2026-10-21T06:15:00Z</dcterms:modified>
  <cp:category/>
</cp:coreProperties>
</file>