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2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Есептілікті жасауға дайындық процесі</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Есепті кезеңді дұрыс жабу, бастапқы деректерді тексеру және түзетулер арқылы есептілікке жарамды қалдықтарды қалыптастыру.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Есепті күн мен есепті кезеңнің айырмасы; Үздіксіздік пен маңыздылықты бағалау; Деректерді дайындаудың реттілігі; Түзету жазбалары не үшін керек; Түзетілген баланс құрастыру мысалы.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Есепті күн мен есепті кезеңнің айырмасы</w:t>
      </w:r>
    </w:p>
    <w:p>
      <w:pPr>
        <w:ind w:firstLine="709"/>
        <w:jc w:val="both"/>
        <w:rPr>
          <w:szCs w:val="24"/>
        </w:rPr>
      </w:pPr>
      <w:r>
        <w:rPr>
          <w:rFonts w:ascii="Times New Roman" w:hAnsi="Times New Roman" w:cs="Times New Roman" w:eastAsia="Times New Roman"/>
          <w:sz w:val="24"/>
          <w:szCs w:val="24"/>
        </w:rPr>
        <w:t>Есепті күн — жағдай өлшенетін нақты күн, мысалы 2027 жылғы 31 желтоқсан. Есепті кезең — операциялар жинақталатын уақыт аралығы, мысалы 2027 жылғы 1 қаңтардан 31 желтоқсанға дейін. Баланс белгілі бір күндегі қалдықтарды, ал пайда туралы есеп кезең ішіндегі нәтижені көрсетеді. Осы екі өлшемді араластыру талдауда қате қорытындыға әкеледі.</w:t>
      </w:r>
    </w:p>
    <w:p>
      <w:pPr>
        <w:ind w:firstLine="709"/>
        <w:jc w:val="both"/>
        <w:rPr>
          <w:szCs w:val="24"/>
        </w:rPr>
      </w:pPr>
      <w:r>
        <w:rPr>
          <w:rFonts w:ascii="Times New Roman" w:hAnsi="Times New Roman" w:cs="Times New Roman" w:eastAsia="Times New Roman"/>
          <w:sz w:val="24"/>
          <w:szCs w:val="24"/>
        </w:rPr>
        <w:t>Есептеу әдісі бойынша операция ақша қозғалған сәтте ғана емес, оның экономикалық нәтижесі туындаған кезеңде танылады. Желтоқсанда көрсетілген қызметтің ақшасы қаңтарда түссе де, тиісті тану талаптары орындалғанда кіріс желтоқсанға жатады. Қаңтар–наурыз айларына алдын ала төленген жалдау сомасын түгел желтоқсан шығысына жазу да дұрыс емес.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Үздіксіздік пен маңыздылықты бағалау</w:t>
      </w:r>
    </w:p>
    <w:p>
      <w:pPr>
        <w:ind w:firstLine="709"/>
        <w:jc w:val="both"/>
        <w:rPr>
          <w:szCs w:val="24"/>
        </w:rPr>
      </w:pPr>
      <w:r>
        <w:rPr>
          <w:rFonts w:ascii="Times New Roman" w:hAnsi="Times New Roman" w:cs="Times New Roman" w:eastAsia="Times New Roman"/>
          <w:sz w:val="24"/>
          <w:szCs w:val="24"/>
        </w:rPr>
        <w:t>Үздіксіздік ұйымның қызметін жақын болашақта жалғастыратынын негізге алады. Басшылық қаржыландырудың қолжетімділігін, қарызды өтеу мүмкіндігін, тапсырыстар мен ақша болжамын бағалайды. Қызметті тоқтату немесе тарату қажеттілігі туындаса, есептілікті әдеттегі негізде дайындаудың дұрыстығы қайта қаралады. [Н3]</w:t>
      </w:r>
    </w:p>
    <w:p>
      <w:pPr>
        <w:ind w:firstLine="709"/>
        <w:jc w:val="both"/>
        <w:rPr>
          <w:szCs w:val="24"/>
        </w:rPr>
      </w:pPr>
      <w:r>
        <w:rPr>
          <w:rFonts w:ascii="Times New Roman" w:hAnsi="Times New Roman" w:cs="Times New Roman" w:eastAsia="Times New Roman"/>
          <w:sz w:val="24"/>
          <w:szCs w:val="24"/>
        </w:rPr>
        <w:t>Маңыздылық жұмыс көлемін анықтауға көмектеседі, бірақ кез келген аз сомалы қатені елемеуге рұқсат бермейді. Бірнеше ұсақ қате жинақталып елеулі бұрмалауға айналуы мүмкін. Сондай-ақ мәміленің заңдылығы немесе байланысты тараппен жасалуы сомаға қарамастан назар аударуды талап етеді.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Деректерді дайындаудың реттілігі</w:t>
      </w:r>
    </w:p>
    <w:p>
      <w:pPr>
        <w:ind w:firstLine="709"/>
        <w:jc w:val="both"/>
        <w:rPr>
          <w:szCs w:val="24"/>
        </w:rPr>
      </w:pPr>
      <w:r>
        <w:rPr>
          <w:rFonts w:ascii="Times New Roman" w:hAnsi="Times New Roman" w:cs="Times New Roman" w:eastAsia="Times New Roman"/>
          <w:sz w:val="24"/>
          <w:szCs w:val="24"/>
        </w:rPr>
        <w:t>Алдымен бастапқы құжаттардың толықтығы тексеріледі: тауарды қабылдау, қызмет актілері, банк көшірмелері және еңбекақы есептері салыстырылады. Одан кейін түгендеу нәтижелері мен контрагенттермен салыстыру актілері қаралады. Бұл кезеңде есепте бар, бірақ іс жүзінде жоқ қор немесе тіркелмеген міндеттеме анықталуы мүмкін.</w:t>
      </w:r>
    </w:p>
    <w:p>
      <w:pPr>
        <w:ind w:firstLine="709"/>
        <w:jc w:val="both"/>
        <w:rPr>
          <w:szCs w:val="24"/>
        </w:rPr>
      </w:pPr>
      <w:r>
        <w:rPr>
          <w:rFonts w:ascii="Times New Roman" w:hAnsi="Times New Roman" w:cs="Times New Roman" w:eastAsia="Times New Roman"/>
          <w:sz w:val="24"/>
          <w:szCs w:val="24"/>
        </w:rPr>
        <w:t>Айналым-сальдо ведомосы шоттардың бастапқы қалдығын, дебеттік және кредиттік айналымдарын, соңғы қалдығын көрсетеді. Дебет пен кредиттің теңдігі маңызды бақылау болғанымен, барлық жазбаның дұрыс екенін дәлелдемейді. Қате шотқа бірдей сомамен жасалған екі жақты жазба теңдікті бұзбайды.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030"/>
        <w:gridCol w:w="3219"/>
        <w:gridCol w:w="3219"/>
      </w:tblGrid>
      <w:tr>
        <w:trPr>
          <w:tblHeader/>
          <w:cantSplit/>
        </w:trPr>
        <w:tc>
          <w:tcPr>
            <w:tcW w:type="dxa" w:w="3030"/>
            <w:vAlign w:val="center"/>
            <w:shd w:fill="E9EEF4"/>
          </w:tcPr>
          <w:p>
            <w:pPr>
              <w:spacing w:line="252" w:lineRule="auto" w:after="20"/>
            </w:pPr>
            <w:r>
              <w:rPr>
                <w:rFonts w:ascii="Times New Roman" w:hAnsi="Times New Roman" w:cs="Times New Roman" w:eastAsia="Times New Roman"/>
                <w:b/>
                <w:sz w:val="24"/>
                <w:szCs w:val="24"/>
              </w:rPr>
              <w:t>Кезең</w:t>
            </w:r>
          </w:p>
        </w:tc>
        <w:tc>
          <w:tcPr>
            <w:tcW w:type="dxa" w:w="3219"/>
            <w:vAlign w:val="center"/>
            <w:shd w:fill="E9EEF4"/>
          </w:tcPr>
          <w:p>
            <w:pPr>
              <w:spacing w:line="252" w:lineRule="auto" w:after="20"/>
            </w:pPr>
            <w:r>
              <w:rPr>
                <w:rFonts w:ascii="Times New Roman" w:hAnsi="Times New Roman" w:cs="Times New Roman" w:eastAsia="Times New Roman"/>
                <w:b/>
                <w:sz w:val="24"/>
                <w:szCs w:val="24"/>
              </w:rPr>
              <w:t>Орындалатын жұмыс</w:t>
            </w:r>
          </w:p>
        </w:tc>
        <w:tc>
          <w:tcPr>
            <w:tcW w:type="dxa" w:w="3219"/>
            <w:vAlign w:val="center"/>
            <w:shd w:fill="E9EEF4"/>
          </w:tcPr>
          <w:p>
            <w:pPr>
              <w:spacing w:line="252" w:lineRule="auto" w:after="20"/>
            </w:pPr>
            <w:r>
              <w:rPr>
                <w:rFonts w:ascii="Times New Roman" w:hAnsi="Times New Roman" w:cs="Times New Roman" w:eastAsia="Times New Roman"/>
                <w:b/>
                <w:sz w:val="24"/>
                <w:szCs w:val="24"/>
              </w:rPr>
              <w:t>Тексерілетін нәтиже</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Құжаттарды жинау</w:t>
            </w:r>
          </w:p>
        </w:tc>
        <w:tc>
          <w:tcPr>
            <w:tcW w:type="dxa" w:w="3219"/>
            <w:vAlign w:val="center"/>
          </w:tcPr>
          <w:p>
            <w:pPr>
              <w:spacing w:line="252" w:lineRule="auto" w:after="20"/>
            </w:pPr>
            <w:r>
              <w:rPr>
                <w:rFonts w:ascii="Times New Roman" w:hAnsi="Times New Roman" w:cs="Times New Roman" w:eastAsia="Times New Roman"/>
                <w:sz w:val="24"/>
                <w:szCs w:val="24"/>
              </w:rPr>
              <w:t>Операциялар мен кезең шекарасын тексеру</w:t>
            </w:r>
          </w:p>
        </w:tc>
        <w:tc>
          <w:tcPr>
            <w:tcW w:type="dxa" w:w="3219"/>
            <w:vAlign w:val="center"/>
          </w:tcPr>
          <w:p>
            <w:pPr>
              <w:spacing w:line="252" w:lineRule="auto" w:after="20"/>
            </w:pPr>
            <w:r>
              <w:rPr>
                <w:rFonts w:ascii="Times New Roman" w:hAnsi="Times New Roman" w:cs="Times New Roman" w:eastAsia="Times New Roman"/>
                <w:sz w:val="24"/>
                <w:szCs w:val="24"/>
              </w:rPr>
              <w:t>Құжатсыз не қайталанған жазба жоқ</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Салыстырып тексеру</w:t>
            </w:r>
          </w:p>
        </w:tc>
        <w:tc>
          <w:tcPr>
            <w:tcW w:type="dxa" w:w="3219"/>
            <w:vAlign w:val="center"/>
          </w:tcPr>
          <w:p>
            <w:pPr>
              <w:spacing w:line="252" w:lineRule="auto" w:after="20"/>
            </w:pPr>
            <w:r>
              <w:rPr>
                <w:rFonts w:ascii="Times New Roman" w:hAnsi="Times New Roman" w:cs="Times New Roman" w:eastAsia="Times New Roman"/>
                <w:sz w:val="24"/>
                <w:szCs w:val="24"/>
              </w:rPr>
              <w:t>Банк, қойма, контрагент деректерін салыстыру</w:t>
            </w:r>
          </w:p>
        </w:tc>
        <w:tc>
          <w:tcPr>
            <w:tcW w:type="dxa" w:w="3219"/>
            <w:vAlign w:val="center"/>
          </w:tcPr>
          <w:p>
            <w:pPr>
              <w:spacing w:line="252" w:lineRule="auto" w:after="20"/>
            </w:pPr>
            <w:r>
              <w:rPr>
                <w:rFonts w:ascii="Times New Roman" w:hAnsi="Times New Roman" w:cs="Times New Roman" w:eastAsia="Times New Roman"/>
                <w:sz w:val="24"/>
                <w:szCs w:val="24"/>
              </w:rPr>
              <w:t>Айырмалардың себебі анықталған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Бағалау</w:t>
            </w:r>
          </w:p>
        </w:tc>
        <w:tc>
          <w:tcPr>
            <w:tcW w:type="dxa" w:w="3219"/>
            <w:vAlign w:val="center"/>
          </w:tcPr>
          <w:p>
            <w:pPr>
              <w:spacing w:line="252" w:lineRule="auto" w:after="20"/>
            </w:pPr>
            <w:r>
              <w:rPr>
                <w:rFonts w:ascii="Times New Roman" w:hAnsi="Times New Roman" w:cs="Times New Roman" w:eastAsia="Times New Roman"/>
                <w:sz w:val="24"/>
                <w:szCs w:val="24"/>
              </w:rPr>
              <w:t>Амортизация, құнсыздану, есептелген шығыс</w:t>
            </w:r>
          </w:p>
        </w:tc>
        <w:tc>
          <w:tcPr>
            <w:tcW w:type="dxa" w:w="3219"/>
            <w:vAlign w:val="center"/>
          </w:tcPr>
          <w:p>
            <w:pPr>
              <w:spacing w:line="252" w:lineRule="auto" w:after="20"/>
            </w:pPr>
            <w:r>
              <w:rPr>
                <w:rFonts w:ascii="Times New Roman" w:hAnsi="Times New Roman" w:cs="Times New Roman" w:eastAsia="Times New Roman"/>
                <w:sz w:val="24"/>
                <w:szCs w:val="24"/>
              </w:rPr>
              <w:t>Сома негізделген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Түзету</w:t>
            </w:r>
          </w:p>
        </w:tc>
        <w:tc>
          <w:tcPr>
            <w:tcW w:type="dxa" w:w="3219"/>
            <w:vAlign w:val="center"/>
          </w:tcPr>
          <w:p>
            <w:pPr>
              <w:spacing w:line="252" w:lineRule="auto" w:after="20"/>
            </w:pPr>
            <w:r>
              <w:rPr>
                <w:rFonts w:ascii="Times New Roman" w:hAnsi="Times New Roman" w:cs="Times New Roman" w:eastAsia="Times New Roman"/>
                <w:sz w:val="24"/>
                <w:szCs w:val="24"/>
              </w:rPr>
              <w:t>Жұмыс кестесіне түзетулер енгізу</w:t>
            </w:r>
          </w:p>
        </w:tc>
        <w:tc>
          <w:tcPr>
            <w:tcW w:type="dxa" w:w="3219"/>
            <w:vAlign w:val="center"/>
          </w:tcPr>
          <w:p>
            <w:pPr>
              <w:spacing w:line="252" w:lineRule="auto" w:after="20"/>
            </w:pPr>
            <w:r>
              <w:rPr>
                <w:rFonts w:ascii="Times New Roman" w:hAnsi="Times New Roman" w:cs="Times New Roman" w:eastAsia="Times New Roman"/>
                <w:sz w:val="24"/>
                <w:szCs w:val="24"/>
              </w:rPr>
              <w:t>Теңдік сақталған</w:t>
            </w:r>
          </w:p>
        </w:tc>
      </w:tr>
      <w:tr>
        <w:trPr>
          <w:cantSplit/>
        </w:trPr>
        <w:tc>
          <w:tcPr>
            <w:tcW w:type="dxa" w:w="3030"/>
            <w:vAlign w:val="center"/>
          </w:tcPr>
          <w:p>
            <w:pPr>
              <w:spacing w:line="252" w:lineRule="auto" w:after="20"/>
            </w:pPr>
            <w:r>
              <w:rPr>
                <w:rFonts w:ascii="Times New Roman" w:hAnsi="Times New Roman" w:cs="Times New Roman" w:eastAsia="Times New Roman"/>
                <w:sz w:val="24"/>
                <w:szCs w:val="24"/>
              </w:rPr>
              <w:t>Жабу</w:t>
            </w:r>
          </w:p>
        </w:tc>
        <w:tc>
          <w:tcPr>
            <w:tcW w:type="dxa" w:w="3219"/>
            <w:vAlign w:val="center"/>
          </w:tcPr>
          <w:p>
            <w:pPr>
              <w:spacing w:line="252" w:lineRule="auto" w:after="20"/>
            </w:pPr>
            <w:r>
              <w:rPr>
                <w:rFonts w:ascii="Times New Roman" w:hAnsi="Times New Roman" w:cs="Times New Roman" w:eastAsia="Times New Roman"/>
                <w:sz w:val="24"/>
                <w:szCs w:val="24"/>
              </w:rPr>
              <w:t>Кіріс пен шығыс шоттарын жабу</w:t>
            </w:r>
          </w:p>
        </w:tc>
        <w:tc>
          <w:tcPr>
            <w:tcW w:type="dxa" w:w="3219"/>
            <w:vAlign w:val="center"/>
          </w:tcPr>
          <w:p>
            <w:pPr>
              <w:spacing w:line="252" w:lineRule="auto" w:after="20"/>
            </w:pPr>
            <w:r>
              <w:rPr>
                <w:rFonts w:ascii="Times New Roman" w:hAnsi="Times New Roman" w:cs="Times New Roman" w:eastAsia="Times New Roman"/>
                <w:sz w:val="24"/>
                <w:szCs w:val="24"/>
              </w:rPr>
              <w:t>Нәтиже капиталға көшірілген</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Түзету жазбалары не үшін керек</w:t>
      </w:r>
    </w:p>
    <w:p>
      <w:pPr>
        <w:ind w:firstLine="709"/>
        <w:jc w:val="both"/>
        <w:rPr>
          <w:szCs w:val="24"/>
        </w:rPr>
      </w:pPr>
      <w:r>
        <w:rPr>
          <w:rFonts w:ascii="Times New Roman" w:hAnsi="Times New Roman" w:cs="Times New Roman" w:eastAsia="Times New Roman"/>
          <w:sz w:val="24"/>
          <w:szCs w:val="24"/>
        </w:rPr>
        <w:t>Жыл соңында әлі төленбеген шығыстар есептеледі, алдын ала төлемдердің пайдаланылған бөлігі бөлінеді және активтердің құны тексеріледі. Мысалы, қордың өзіндік құны оның таза өткізу құнынан жоғары болса, қор төменгі мөлшерде бағаланады. Таза өткізу құны — болжамды сату бағасынан аяқтау мен сатуға қажетті шығындарды шегергендегі сома. [Н4]</w:t>
      </w:r>
    </w:p>
    <w:p>
      <w:pPr>
        <w:ind w:firstLine="709"/>
        <w:jc w:val="both"/>
        <w:rPr>
          <w:szCs w:val="24"/>
        </w:rPr>
      </w:pPr>
      <w:r>
        <w:rPr>
          <w:rFonts w:ascii="Times New Roman" w:hAnsi="Times New Roman" w:cs="Times New Roman" w:eastAsia="Times New Roman"/>
          <w:sz w:val="24"/>
          <w:szCs w:val="24"/>
        </w:rPr>
        <w:t>Түзетудің негіздемесі, есептеуі және жауапты тұлғасы сақталуы тиіс. Қайталама түзетуді болдырмау үшін бастапқы ведомость, түзету бағандары және түзетілген ведомость бөлек көрсетіледі. ҚЕХС-қа трансформация жасау кезінде ұлттық есеп деректері өшірілмейді: екі жүйенің айырмасы бақыланатын жұмыс кестесінде беріледі.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Түзетілген баланс құрастыру мысалы</w:t>
      </w:r>
    </w:p>
    <w:p>
      <w:pPr>
        <w:ind w:firstLine="709"/>
        <w:jc w:val="both"/>
        <w:rPr>
          <w:szCs w:val="24"/>
        </w:rPr>
      </w:pPr>
      <w:r>
        <w:rPr>
          <w:rFonts w:ascii="Times New Roman" w:hAnsi="Times New Roman" w:cs="Times New Roman" w:eastAsia="Times New Roman"/>
          <w:sz w:val="24"/>
          <w:szCs w:val="24"/>
        </w:rPr>
        <w:t>Кәсіпорынның бастапқы деректері: ақша 300, дебиторлық берешек 500, қор 650, негізгі құралдың таза құны 1 000; міндеттемелер 1 150, капитал 1 300 мың теңге. Активтер мен қаржыландыру көздері 2 450-ге тең. Жыл соңында 40 мың теңге жалақы есептелмегені, қордың таза өткізу құны 600 екені және 100 мың теңге амортизация қосымша есептелуі керектігі анықталды. Салық әсері бұл оқу мысалында есептелмейді.</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219"/>
        <w:gridCol w:w="2083"/>
        <w:gridCol w:w="2083"/>
        <w:gridCol w:w="2083"/>
      </w:tblGrid>
      <w:tr>
        <w:trPr>
          <w:tblHeader/>
          <w:cantSplit/>
        </w:trPr>
        <w:tc>
          <w:tcPr>
            <w:tcW w:type="dxa" w:w="3219"/>
            <w:vAlign w:val="center"/>
            <w:shd w:fill="E9EEF4"/>
          </w:tcPr>
          <w:p>
            <w:pPr>
              <w:spacing w:line="252" w:lineRule="auto" w:after="20"/>
            </w:pPr>
            <w:r>
              <w:rPr>
                <w:rFonts w:ascii="Times New Roman" w:hAnsi="Times New Roman" w:cs="Times New Roman" w:eastAsia="Times New Roman"/>
                <w:b/>
                <w:sz w:val="24"/>
                <w:szCs w:val="24"/>
              </w:rPr>
              <w:t>Түзету</w:t>
            </w:r>
          </w:p>
        </w:tc>
        <w:tc>
          <w:tcPr>
            <w:tcW w:type="dxa" w:w="2083"/>
            <w:vAlign w:val="center"/>
            <w:shd w:fill="E9EEF4"/>
          </w:tcPr>
          <w:p>
            <w:pPr>
              <w:spacing w:line="252" w:lineRule="auto" w:after="20"/>
            </w:pPr>
            <w:r>
              <w:rPr>
                <w:rFonts w:ascii="Times New Roman" w:hAnsi="Times New Roman" w:cs="Times New Roman" w:eastAsia="Times New Roman"/>
                <w:b/>
                <w:sz w:val="24"/>
                <w:szCs w:val="24"/>
              </w:rPr>
              <w:t>Актив өзгерісі</w:t>
            </w:r>
          </w:p>
        </w:tc>
        <w:tc>
          <w:tcPr>
            <w:tcW w:type="dxa" w:w="2083"/>
            <w:vAlign w:val="center"/>
            <w:shd w:fill="E9EEF4"/>
          </w:tcPr>
          <w:p>
            <w:pPr>
              <w:spacing w:line="252" w:lineRule="auto" w:after="20"/>
            </w:pPr>
            <w:r>
              <w:rPr>
                <w:rFonts w:ascii="Times New Roman" w:hAnsi="Times New Roman" w:cs="Times New Roman" w:eastAsia="Times New Roman"/>
                <w:b/>
                <w:sz w:val="24"/>
                <w:szCs w:val="24"/>
              </w:rPr>
              <w:t>Міндеттеме өзгерісі</w:t>
            </w:r>
          </w:p>
        </w:tc>
        <w:tc>
          <w:tcPr>
            <w:tcW w:type="dxa" w:w="2083"/>
            <w:vAlign w:val="center"/>
            <w:shd w:fill="E9EEF4"/>
          </w:tcPr>
          <w:p>
            <w:pPr>
              <w:spacing w:line="252" w:lineRule="auto" w:after="20"/>
            </w:pPr>
            <w:r>
              <w:rPr>
                <w:rFonts w:ascii="Times New Roman" w:hAnsi="Times New Roman" w:cs="Times New Roman" w:eastAsia="Times New Roman"/>
                <w:b/>
                <w:sz w:val="24"/>
                <w:szCs w:val="24"/>
              </w:rPr>
              <w:t>Пайда мен капитал өзгерісі</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Төленбеген жалақыны есептеу</w:t>
            </w:r>
          </w:p>
        </w:tc>
        <w:tc>
          <w:tcPr>
            <w:tcW w:type="dxa" w:w="2083"/>
            <w:vAlign w:val="center"/>
          </w:tcPr>
          <w:p>
            <w:pPr>
              <w:spacing w:line="252" w:lineRule="auto" w:after="20"/>
              <w:jc w:val="center"/>
            </w:pPr>
            <w:r>
              <w:rPr>
                <w:rFonts w:ascii="Times New Roman" w:hAnsi="Times New Roman" w:cs="Times New Roman" w:eastAsia="Times New Roman"/>
                <w:sz w:val="24"/>
                <w:szCs w:val="24"/>
              </w:rPr>
              <w:t>0</w:t>
            </w:r>
          </w:p>
        </w:tc>
        <w:tc>
          <w:tcPr>
            <w:tcW w:type="dxa" w:w="2083"/>
            <w:vAlign w:val="center"/>
          </w:tcPr>
          <w:p>
            <w:pPr>
              <w:spacing w:line="252" w:lineRule="auto" w:after="20"/>
              <w:jc w:val="center"/>
            </w:pPr>
            <w:r>
              <w:rPr>
                <w:rFonts w:ascii="Times New Roman" w:hAnsi="Times New Roman" w:cs="Times New Roman" w:eastAsia="Times New Roman"/>
                <w:sz w:val="24"/>
                <w:szCs w:val="24"/>
              </w:rPr>
              <w:t>+40</w:t>
            </w:r>
          </w:p>
        </w:tc>
        <w:tc>
          <w:tcPr>
            <w:tcW w:type="dxa" w:w="2083"/>
            <w:vAlign w:val="center"/>
          </w:tcPr>
          <w:p>
            <w:pPr>
              <w:spacing w:line="252" w:lineRule="auto" w:after="20"/>
              <w:jc w:val="center"/>
            </w:pPr>
            <w:r>
              <w:rPr>
                <w:rFonts w:ascii="Times New Roman" w:hAnsi="Times New Roman" w:cs="Times New Roman" w:eastAsia="Times New Roman"/>
                <w:sz w:val="24"/>
                <w:szCs w:val="24"/>
              </w:rPr>
              <w:t>−40</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Қор құнын төмендету</w:t>
            </w:r>
          </w:p>
        </w:tc>
        <w:tc>
          <w:tcPr>
            <w:tcW w:type="dxa" w:w="2083"/>
            <w:vAlign w:val="center"/>
          </w:tcPr>
          <w:p>
            <w:pPr>
              <w:spacing w:line="252" w:lineRule="auto" w:after="20"/>
              <w:jc w:val="center"/>
            </w:pPr>
            <w:r>
              <w:rPr>
                <w:rFonts w:ascii="Times New Roman" w:hAnsi="Times New Roman" w:cs="Times New Roman" w:eastAsia="Times New Roman"/>
                <w:sz w:val="24"/>
                <w:szCs w:val="24"/>
              </w:rPr>
              <w:t>−50</w:t>
            </w:r>
          </w:p>
        </w:tc>
        <w:tc>
          <w:tcPr>
            <w:tcW w:type="dxa" w:w="2083"/>
            <w:vAlign w:val="center"/>
          </w:tcPr>
          <w:p>
            <w:pPr>
              <w:spacing w:line="252" w:lineRule="auto" w:after="20"/>
              <w:jc w:val="center"/>
            </w:pPr>
            <w:r>
              <w:rPr>
                <w:rFonts w:ascii="Times New Roman" w:hAnsi="Times New Roman" w:cs="Times New Roman" w:eastAsia="Times New Roman"/>
                <w:sz w:val="24"/>
                <w:szCs w:val="24"/>
              </w:rPr>
              <w:t>0</w:t>
            </w:r>
          </w:p>
        </w:tc>
        <w:tc>
          <w:tcPr>
            <w:tcW w:type="dxa" w:w="2083"/>
            <w:vAlign w:val="center"/>
          </w:tcPr>
          <w:p>
            <w:pPr>
              <w:spacing w:line="252" w:lineRule="auto" w:after="20"/>
              <w:jc w:val="center"/>
            </w:pPr>
            <w:r>
              <w:rPr>
                <w:rFonts w:ascii="Times New Roman" w:hAnsi="Times New Roman" w:cs="Times New Roman" w:eastAsia="Times New Roman"/>
                <w:sz w:val="24"/>
                <w:szCs w:val="24"/>
              </w:rPr>
              <w:t>−50</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Амортизацияны есептеу</w:t>
            </w:r>
          </w:p>
        </w:tc>
        <w:tc>
          <w:tcPr>
            <w:tcW w:type="dxa" w:w="2083"/>
            <w:vAlign w:val="center"/>
          </w:tcPr>
          <w:p>
            <w:pPr>
              <w:spacing w:line="252" w:lineRule="auto" w:after="20"/>
              <w:jc w:val="center"/>
            </w:pPr>
            <w:r>
              <w:rPr>
                <w:rFonts w:ascii="Times New Roman" w:hAnsi="Times New Roman" w:cs="Times New Roman" w:eastAsia="Times New Roman"/>
                <w:sz w:val="24"/>
                <w:szCs w:val="24"/>
              </w:rPr>
              <w:t>−100</w:t>
            </w:r>
          </w:p>
        </w:tc>
        <w:tc>
          <w:tcPr>
            <w:tcW w:type="dxa" w:w="2083"/>
            <w:vAlign w:val="center"/>
          </w:tcPr>
          <w:p>
            <w:pPr>
              <w:spacing w:line="252" w:lineRule="auto" w:after="20"/>
              <w:jc w:val="center"/>
            </w:pPr>
            <w:r>
              <w:rPr>
                <w:rFonts w:ascii="Times New Roman" w:hAnsi="Times New Roman" w:cs="Times New Roman" w:eastAsia="Times New Roman"/>
                <w:sz w:val="24"/>
                <w:szCs w:val="24"/>
              </w:rPr>
              <w:t>0</w:t>
            </w:r>
          </w:p>
        </w:tc>
        <w:tc>
          <w:tcPr>
            <w:tcW w:type="dxa" w:w="2083"/>
            <w:vAlign w:val="center"/>
          </w:tcPr>
          <w:p>
            <w:pPr>
              <w:spacing w:line="252" w:lineRule="auto" w:after="20"/>
              <w:jc w:val="center"/>
            </w:pPr>
            <w:r>
              <w:rPr>
                <w:rFonts w:ascii="Times New Roman" w:hAnsi="Times New Roman" w:cs="Times New Roman" w:eastAsia="Times New Roman"/>
                <w:sz w:val="24"/>
                <w:szCs w:val="24"/>
              </w:rPr>
              <w:t>−100</w:t>
            </w:r>
          </w:p>
        </w:tc>
      </w:tr>
      <w:tr>
        <w:trPr>
          <w:cantSplit/>
        </w:trPr>
        <w:tc>
          <w:tcPr>
            <w:tcW w:type="dxa" w:w="3219"/>
            <w:vAlign w:val="center"/>
          </w:tcPr>
          <w:p>
            <w:pPr>
              <w:spacing w:line="252" w:lineRule="auto" w:after="20"/>
            </w:pPr>
            <w:r>
              <w:rPr>
                <w:rFonts w:ascii="Times New Roman" w:hAnsi="Times New Roman" w:cs="Times New Roman" w:eastAsia="Times New Roman"/>
                <w:sz w:val="24"/>
                <w:szCs w:val="24"/>
              </w:rPr>
              <w:t>Барлығы</w:t>
            </w:r>
          </w:p>
        </w:tc>
        <w:tc>
          <w:tcPr>
            <w:tcW w:type="dxa" w:w="2083"/>
            <w:vAlign w:val="center"/>
          </w:tcPr>
          <w:p>
            <w:pPr>
              <w:spacing w:line="252" w:lineRule="auto" w:after="20"/>
              <w:jc w:val="center"/>
            </w:pPr>
            <w:r>
              <w:rPr>
                <w:rFonts w:ascii="Times New Roman" w:hAnsi="Times New Roman" w:cs="Times New Roman" w:eastAsia="Times New Roman"/>
                <w:sz w:val="24"/>
                <w:szCs w:val="24"/>
              </w:rPr>
              <w:t>−150</w:t>
            </w:r>
          </w:p>
        </w:tc>
        <w:tc>
          <w:tcPr>
            <w:tcW w:type="dxa" w:w="2083"/>
            <w:vAlign w:val="center"/>
          </w:tcPr>
          <w:p>
            <w:pPr>
              <w:spacing w:line="252" w:lineRule="auto" w:after="20"/>
              <w:jc w:val="center"/>
            </w:pPr>
            <w:r>
              <w:rPr>
                <w:rFonts w:ascii="Times New Roman" w:hAnsi="Times New Roman" w:cs="Times New Roman" w:eastAsia="Times New Roman"/>
                <w:sz w:val="24"/>
                <w:szCs w:val="24"/>
              </w:rPr>
              <w:t>+40</w:t>
            </w:r>
          </w:p>
        </w:tc>
        <w:tc>
          <w:tcPr>
            <w:tcW w:type="dxa" w:w="2083"/>
            <w:vAlign w:val="center"/>
          </w:tcPr>
          <w:p>
            <w:pPr>
              <w:spacing w:line="252" w:lineRule="auto" w:after="20"/>
              <w:jc w:val="center"/>
            </w:pPr>
            <w:r>
              <w:rPr>
                <w:rFonts w:ascii="Times New Roman" w:hAnsi="Times New Roman" w:cs="Times New Roman" w:eastAsia="Times New Roman"/>
                <w:sz w:val="24"/>
                <w:szCs w:val="24"/>
              </w:rPr>
              <w:t>−190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Түзетілген активтер 2 300, міндеттемелер 1 190, капитал 1 110 мың теңге болады. 1 190 мен 1 110 қосындысы 2 300-ге тең. Ақша өзгермегенімен, кезең нәтижесі 190-ға төмендеді: түзетулердің бәрі бірдей ақша төлемі емес.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Дебет пен кредит тең болса, есеп толық дұрыс деп ойлау.</w:t>
      </w:r>
    </w:p>
    <w:p>
      <w:pPr>
        <w:pStyle w:val="a0"/>
        <w:tabs>
          <w:tab w:val="left" w:pos="1134"/>
        </w:tabs>
        <w:ind w:firstLine="491"/>
        <w:jc w:val="both"/>
        <w:rPr>
          <w:szCs w:val="24"/>
        </w:rPr>
      </w:pPr>
      <w:r>
        <w:rPr>
          <w:rFonts w:ascii="Times New Roman" w:hAnsi="Times New Roman" w:cs="Times New Roman" w:eastAsia="Times New Roman"/>
          <w:sz w:val="24"/>
          <w:szCs w:val="24"/>
        </w:rPr>
        <w:t>Жыл соңындағы төленбеген шығыстарды келесі жылға қалдыру.</w:t>
      </w:r>
    </w:p>
    <w:p>
      <w:pPr>
        <w:pStyle w:val="a0"/>
        <w:tabs>
          <w:tab w:val="left" w:pos="1134"/>
        </w:tabs>
        <w:ind w:firstLine="491"/>
        <w:jc w:val="both"/>
        <w:rPr>
          <w:szCs w:val="24"/>
        </w:rPr>
      </w:pPr>
      <w:r>
        <w:rPr>
          <w:rFonts w:ascii="Times New Roman" w:hAnsi="Times New Roman" w:cs="Times New Roman" w:eastAsia="Times New Roman"/>
          <w:sz w:val="24"/>
          <w:szCs w:val="24"/>
        </w:rPr>
        <w:t>Түзетудің бастапқы құжатпен байланысын сақтамау.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Есепті күн мен кезең неліктен бөлек ұғымдар?</w:t>
      </w:r>
    </w:p>
    <w:p>
      <w:pPr>
        <w:spacing w:after="80"/>
        <w:ind w:left="170" w:firstLine="709"/>
        <w:jc w:val="both"/>
        <w:rPr>
          <w:szCs w:val="24"/>
        </w:rPr>
      </w:pPr>
      <w:r>
        <w:rPr>
          <w:rFonts w:ascii="Times New Roman" w:hAnsi="Times New Roman" w:cs="Times New Roman" w:eastAsia="Times New Roman"/>
          <w:sz w:val="24"/>
          <w:szCs w:val="24"/>
        </w:rPr>
        <w:t>2. Қандай қателер ведомость теңдігін бұзбайды?</w:t>
      </w:r>
    </w:p>
    <w:p>
      <w:pPr>
        <w:spacing w:after="80"/>
        <w:ind w:left="170" w:firstLine="709"/>
        <w:jc w:val="both"/>
        <w:rPr>
          <w:szCs w:val="24"/>
        </w:rPr>
      </w:pPr>
      <w:r>
        <w:rPr>
          <w:rFonts w:ascii="Times New Roman" w:hAnsi="Times New Roman" w:cs="Times New Roman" w:eastAsia="Times New Roman"/>
          <w:sz w:val="24"/>
          <w:szCs w:val="24"/>
        </w:rPr>
        <w:t>3. Алдын ала төленген жалдау қалай кезеңдерге бөлінеді?</w:t>
      </w:r>
    </w:p>
    <w:p>
      <w:pPr>
        <w:spacing w:after="80"/>
        <w:ind w:left="170" w:firstLine="709"/>
        <w:jc w:val="both"/>
        <w:rPr>
          <w:szCs w:val="24"/>
        </w:rPr>
      </w:pPr>
      <w:r>
        <w:rPr>
          <w:rFonts w:ascii="Times New Roman" w:hAnsi="Times New Roman" w:cs="Times New Roman" w:eastAsia="Times New Roman"/>
          <w:sz w:val="24"/>
          <w:szCs w:val="24"/>
        </w:rPr>
        <w:t>4. Түзету кестесінің қандай бақылау артықшылығы бар?</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Желтоқсанда 120 мың теңге алты айлық сақтандыруға төленді, оның бір айы пайдаланылды. Жауап: кезең шығысы 20, алдын ала төленген шығыс активі 100 мың теңге. Ақша төлемі 120 болғанымен, осы айдың шығысы 20 ғана.</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[Ә7] Спиридонов, С. П. Анализ бухгалтерской (финансовой) отчётности : учебное пособие / С. П. Спиридонов, В. И. Меньщикова, И. А. Андреева. — Тамбов : Тамбовский государственный технический университет, ЭБС АСВ, 2021. — 110 c. — ISBN 978-5-8265-2363-6.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[Н3] IFRS Foundation. IAS 8 Basis of Preparation of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[Н4] IFRS Foundation. IAS 2 Inventories. </w:t>
      </w:r>
      <w:hyperlink r:id="rId16">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22962.html" TargetMode="External"/><Relationship Id="rId15" Type="http://schemas.openxmlformats.org/officeDocument/2006/relationships/hyperlink" Target="https://www.ifrs.org/issued-standards/list-of-standards/ias-8-basis-of-preparation-of-financial-statements/" TargetMode="External"/><Relationship Id="rId16" Type="http://schemas.openxmlformats.org/officeDocument/2006/relationships/hyperlink" Target="https://www.ifrs.org/issued-standards/list-of-standards/ias-2-invent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Есептілікті жасауға дайындық процесі</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