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B6E" w:rsidRDefault="00BD3431">
      <w:pPr>
        <w:keepNext/>
        <w:jc w:val="both"/>
      </w:pPr>
      <w:r>
        <w:rPr>
          <w:rFonts w:eastAsia="Times New Roman" w:cs="Times New Roman"/>
          <w:b/>
          <w:lang w:val="ru-RU"/>
        </w:rPr>
        <w:t>ЛЕКЦИЯ 10</w:t>
      </w:r>
    </w:p>
    <w:p w:rsidR="00986B6E" w:rsidRDefault="00BD3431">
      <w:pPr>
        <w:pStyle w:val="aa"/>
        <w:keepNext/>
        <w:spacing w:after="160"/>
      </w:pPr>
      <w:r>
        <w:rPr>
          <w:rFonts w:ascii="Times New Roman" w:eastAsia="Times New Roman" w:hAnsi="Times New Roman" w:cs="Times New Roman"/>
          <w:lang w:val="ru-RU"/>
        </w:rPr>
        <w:t>Автоматизация бухгалтерского учета в бюджетных учреждениях</w:t>
      </w:r>
    </w:p>
    <w:p>
      <w:pPr>
        <w:keepNext w:val="0"/>
        <w:jc w:val="both"/>
      </w:pPr>
      <w:r>
        <w:rPr>
          <w:rFonts w:eastAsia="Times New Roman" w:cs="Times New Roman"/>
          <w:lang w:val="ru-RU"/>
        </w:rPr>
        <w:t>Цель лекции. Определить требования к автоматизированному учету, электронным документам, контролю доступа и переносу данных государственного учреждения.</w:t>
      </w:r>
    </w:p>
    <w:p w:rsidR="00986B6E" w:rsidRDefault="00BD3431">
      <w:pPr>
        <w:jc w:val="both"/>
      </w:pPr>
      <w:r>
        <w:rPr>
          <w:rFonts w:eastAsia="Times New Roman" w:cs="Times New Roman"/>
          <w:b/>
          <w:lang w:val="ru-RU"/>
        </w:rPr>
        <w:t>План лекции.</w:t>
      </w:r>
      <w:r>
        <w:rPr>
          <w:rFonts w:eastAsia="Times New Roman" w:cs="Times New Roman"/>
          <w:lang w:val="ru-RU"/>
        </w:rPr>
        <w:t xml:space="preserve"> Требования к учетной системе; программные решения; справочники; электронные документы и подпись; контроль изменений; перенос данных и внедрение.</w:t>
      </w:r>
    </w:p>
    <w:p w:rsidR="00986B6E" w:rsidRDefault="00BD3431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1 Что должна обеспечивать автоматизация</w:t>
      </w:r>
    </w:p>
    <w:p w:rsidR="00986B6E" w:rsidRDefault="00BD3431">
      <w:pPr>
        <w:jc w:val="both"/>
      </w:pPr>
      <w:r>
        <w:rPr>
          <w:rFonts w:eastAsia="Times New Roman" w:cs="Times New Roman"/>
          <w:lang w:val="ru-RU"/>
        </w:rPr>
        <w:t>Автоматизация бухгалтерского учета — организация обработки данных с помощью цифровой системы, которая поддерживает документы, регистры, проверки и отчетность</w:t>
      </w:r>
      <w:r>
        <w:rPr>
          <w:rFonts w:eastAsia="Times New Roman" w:cs="Times New Roman"/>
          <w:lang w:val="ru-RU"/>
        </w:rPr>
        <w:t>. Ее задача состоит в повышении надежности и своевременности информации. Перенос ручного процесса в программу без изменения контроля может ускорить распространение ошибки.</w:t>
      </w:r>
    </w:p>
    <w:p w:rsidR="00986B6E" w:rsidRDefault="00BD3431">
      <w:pPr>
        <w:jc w:val="both"/>
      </w:pPr>
      <w:r>
        <w:rPr>
          <w:rFonts w:eastAsia="Times New Roman" w:cs="Times New Roman"/>
          <w:lang w:val="ru-RU"/>
        </w:rPr>
        <w:t>Сначала описывают учетные потребности: правовую форму учреждения, применимый план сч</w:t>
      </w:r>
      <w:r>
        <w:rPr>
          <w:rFonts w:eastAsia="Times New Roman" w:cs="Times New Roman"/>
          <w:lang w:val="ru-RU"/>
        </w:rPr>
        <w:t>етов, источники, бюджетные программы, виды имущества, расчеты и отчетные формы. Затем проверяют, может ли конкретная конфигурация обеспечить эти требования. Название платформы не подтверждает соответствие действующим нормам Казахстана.</w:t>
      </w:r>
    </w:p>
    <w:p w:rsidR="00986B6E" w:rsidRDefault="00BD3431">
      <w:pPr>
        <w:jc w:val="both"/>
      </w:pPr>
      <w:r>
        <w:rPr>
          <w:rFonts w:eastAsia="Times New Roman" w:cs="Times New Roman"/>
          <w:lang w:val="ru-RU"/>
        </w:rPr>
        <w:t>Для государственного</w:t>
      </w:r>
      <w:r>
        <w:rPr>
          <w:rFonts w:eastAsia="Times New Roman" w:cs="Times New Roman"/>
          <w:lang w:val="ru-RU"/>
        </w:rPr>
        <w:t xml:space="preserve"> учреждения особенно важны учет по источникам и программам, контроль обязательств, история исправлений, полномочия пользователей и формирование действующей отчетности. При наличии применимых требований учитывается взаимодействие с казначейскими сервисами и</w:t>
      </w:r>
      <w:r>
        <w:rPr>
          <w:rFonts w:eastAsia="Times New Roman" w:cs="Times New Roman"/>
          <w:lang w:val="ru-RU"/>
        </w:rPr>
        <w:t xml:space="preserve"> централизованными системами. Техническая выгрузка должна сохранять экономический смысл и идентификаторы операций.</w:t>
      </w:r>
    </w:p>
    <w:p w:rsidR="00986B6E" w:rsidRDefault="00BD3431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2 Программные решения и критерии выбора</w:t>
      </w:r>
    </w:p>
    <w:p w:rsidR="00986B6E" w:rsidRDefault="00BD3431">
      <w:pPr>
        <w:jc w:val="both"/>
      </w:pPr>
      <w:r>
        <w:rPr>
          <w:rFonts w:eastAsia="Times New Roman" w:cs="Times New Roman"/>
          <w:lang w:val="ru-RU"/>
        </w:rPr>
        <w:t>При оценке решений на платформе 1С и системы IS-Pro проверяют конкретную конфигурацию, локализацию и состав функций. Для государственного учреждения необходимы поддержка Плана счетов № 170, источников финансирования, бюджетной аналитики и форм № 230. Соответствие подтверждается воспроизведением контрольных операций и сверкой сформированных регистров с установленными требованиями. [Н3, Н4, Н9]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90" w:type="dxa"/>
          <w:bottom w:w="65" w:type="dxa"/>
          <w:right w:w="90" w:type="dxa"/>
        </w:tblCellMar>
        <w:tblLook w:val="04A0" w:firstRow="1" w:lastRow="0" w:firstColumn="1" w:lastColumn="0" w:noHBand="0" w:noVBand="1"/>
      </w:tblPr>
      <w:tblGrid>
        <w:gridCol w:w="3118"/>
        <w:gridCol w:w="3288"/>
        <w:gridCol w:w="3061"/>
      </w:tblGrid>
      <w:tr w:rsidR="00986B6E">
        <w:trPr>
          <w:cantSplit/>
          <w:tblHeader/>
          <w:jc w:val="center"/>
        </w:trPr>
        <w:tc>
          <w:tcPr>
            <w:tcW w:w="3118" w:type="dxa"/>
            <w:shd w:val="clear" w:color="auto" w:fill="E8EFF5"/>
            <w:vAlign w:val="center"/>
          </w:tcPr>
          <w:p w:rsidR="00986B6E" w:rsidRDefault="00BD34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Критерий</w:t>
            </w:r>
          </w:p>
        </w:tc>
        <w:tc>
          <w:tcPr>
            <w:tcW w:w="3288" w:type="dxa"/>
            <w:shd w:val="clear" w:color="auto" w:fill="E8EFF5"/>
            <w:vAlign w:val="center"/>
          </w:tcPr>
          <w:p w:rsidR="00986B6E" w:rsidRDefault="00BD34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Что проверяется</w:t>
            </w:r>
          </w:p>
        </w:tc>
        <w:tc>
          <w:tcPr>
            <w:tcW w:w="3061" w:type="dxa"/>
            <w:shd w:val="clear" w:color="auto" w:fill="E8EFF5"/>
            <w:vAlign w:val="center"/>
          </w:tcPr>
          <w:p w:rsidR="00986B6E" w:rsidRDefault="00BD34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Контрольный результат</w:t>
            </w:r>
          </w:p>
        </w:tc>
      </w:tr>
      <w:tr w:rsidR="00986B6E">
        <w:trPr>
          <w:cantSplit/>
          <w:jc w:val="center"/>
        </w:trPr>
        <w:tc>
          <w:tcPr>
            <w:tcW w:w="3118" w:type="dxa"/>
            <w:vAlign w:val="center"/>
          </w:tcPr>
          <w:p w:rsidR="00986B6E" w:rsidRDefault="00BD34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Нормативное соответствие</w:t>
            </w:r>
          </w:p>
        </w:tc>
        <w:tc>
          <w:tcPr>
            <w:tcW w:w="3288" w:type="dxa"/>
            <w:vAlign w:val="center"/>
          </w:tcPr>
          <w:p w:rsidR="00986B6E" w:rsidRDefault="00BD34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Действующий план счетов и формы отчетности</w:t>
            </w:r>
          </w:p>
        </w:tc>
        <w:tc>
          <w:tcPr>
            <w:tcW w:w="3061" w:type="dxa"/>
            <w:vAlign w:val="center"/>
          </w:tcPr>
          <w:p w:rsidR="00986B6E" w:rsidRDefault="00BD34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Верная запись и форма по учебной операции</w:t>
            </w:r>
          </w:p>
        </w:tc>
      </w:tr>
      <w:tr w:rsidR="00986B6E">
        <w:trPr>
          <w:cantSplit/>
          <w:jc w:val="center"/>
        </w:trPr>
        <w:tc>
          <w:tcPr>
            <w:tcW w:w="3118" w:type="dxa"/>
            <w:vAlign w:val="center"/>
          </w:tcPr>
          <w:p w:rsidR="00986B6E" w:rsidRDefault="00BD34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Аналитика источников</w:t>
            </w:r>
          </w:p>
        </w:tc>
        <w:tc>
          <w:tcPr>
            <w:tcW w:w="3288" w:type="dxa"/>
            <w:vAlign w:val="center"/>
          </w:tcPr>
          <w:p w:rsidR="00986B6E" w:rsidRDefault="00BD34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Программа договор источник и контрагент</w:t>
            </w:r>
          </w:p>
        </w:tc>
        <w:tc>
          <w:tcPr>
            <w:tcW w:w="3061" w:type="dxa"/>
            <w:vAlign w:val="center"/>
          </w:tcPr>
          <w:p w:rsidR="00986B6E" w:rsidRDefault="00BD34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Согласованные разрезы одной суммы</w:t>
            </w:r>
          </w:p>
        </w:tc>
      </w:tr>
      <w:tr w:rsidR="00986B6E">
        <w:trPr>
          <w:cantSplit/>
          <w:jc w:val="center"/>
        </w:trPr>
        <w:tc>
          <w:tcPr>
            <w:tcW w:w="3118" w:type="dxa"/>
            <w:vAlign w:val="center"/>
          </w:tcPr>
          <w:p w:rsidR="00986B6E" w:rsidRDefault="00BD34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Расчеты по оплате труда</w:t>
            </w:r>
          </w:p>
        </w:tc>
        <w:tc>
          <w:tcPr>
            <w:tcW w:w="3288" w:type="dxa"/>
            <w:vAlign w:val="center"/>
          </w:tcPr>
          <w:p w:rsidR="00986B6E" w:rsidRDefault="00BD34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Параметры периода вычеты и ограничения</w:t>
            </w:r>
          </w:p>
        </w:tc>
        <w:tc>
          <w:tcPr>
            <w:tcW w:w="3061" w:type="dxa"/>
            <w:vAlign w:val="center"/>
          </w:tcPr>
          <w:p w:rsidR="00986B6E" w:rsidRDefault="00BD34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 xml:space="preserve">Пересчет </w:t>
            </w:r>
            <w:r>
              <w:rPr>
                <w:rFonts w:eastAsia="Times New Roman" w:cs="Times New Roman"/>
                <w:sz w:val="21"/>
                <w:lang w:val="ru-RU"/>
              </w:rPr>
              <w:t>тестового работника</w:t>
            </w:r>
          </w:p>
        </w:tc>
      </w:tr>
      <w:tr w:rsidR="00986B6E">
        <w:trPr>
          <w:cantSplit/>
          <w:jc w:val="center"/>
        </w:trPr>
        <w:tc>
          <w:tcPr>
            <w:tcW w:w="3118" w:type="dxa"/>
            <w:vAlign w:val="center"/>
          </w:tcPr>
          <w:p w:rsidR="00986B6E" w:rsidRDefault="00BD34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Документооборот</w:t>
            </w:r>
          </w:p>
        </w:tc>
        <w:tc>
          <w:tcPr>
            <w:tcW w:w="3288" w:type="dxa"/>
            <w:vAlign w:val="center"/>
          </w:tcPr>
          <w:p w:rsidR="00986B6E" w:rsidRDefault="00BD34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Полномочия версии и статусы документов</w:t>
            </w:r>
          </w:p>
        </w:tc>
        <w:tc>
          <w:tcPr>
            <w:tcW w:w="3061" w:type="dxa"/>
            <w:vAlign w:val="center"/>
          </w:tcPr>
          <w:p w:rsidR="00986B6E" w:rsidRDefault="00BD34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Проверяемый маршрут согласования</w:t>
            </w:r>
          </w:p>
        </w:tc>
      </w:tr>
      <w:tr w:rsidR="00986B6E">
        <w:trPr>
          <w:cantSplit/>
          <w:jc w:val="center"/>
        </w:trPr>
        <w:tc>
          <w:tcPr>
            <w:tcW w:w="3118" w:type="dxa"/>
            <w:vAlign w:val="center"/>
          </w:tcPr>
          <w:p w:rsidR="00986B6E" w:rsidRDefault="00BD34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Обмен данными</w:t>
            </w:r>
          </w:p>
        </w:tc>
        <w:tc>
          <w:tcPr>
            <w:tcW w:w="3288" w:type="dxa"/>
            <w:vAlign w:val="center"/>
          </w:tcPr>
          <w:p w:rsidR="00986B6E" w:rsidRDefault="00BD34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Идентификаторы полнота и повторы</w:t>
            </w:r>
          </w:p>
        </w:tc>
        <w:tc>
          <w:tcPr>
            <w:tcW w:w="3061" w:type="dxa"/>
            <w:vAlign w:val="center"/>
          </w:tcPr>
          <w:p w:rsidR="00986B6E" w:rsidRDefault="00BD34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Сверка до и после загрузки</w:t>
            </w:r>
          </w:p>
        </w:tc>
      </w:tr>
      <w:tr w:rsidR="00986B6E">
        <w:trPr>
          <w:cantSplit/>
          <w:jc w:val="center"/>
        </w:trPr>
        <w:tc>
          <w:tcPr>
            <w:tcW w:w="3118" w:type="dxa"/>
            <w:vAlign w:val="center"/>
          </w:tcPr>
          <w:p w:rsidR="00986B6E" w:rsidRDefault="00BD3431">
            <w:pPr>
              <w:keepNext w:val="0"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Восстановление</w:t>
            </w:r>
          </w:p>
        </w:tc>
        <w:tc>
          <w:tcPr>
            <w:tcW w:w="3288" w:type="dxa"/>
            <w:vAlign w:val="center"/>
          </w:tcPr>
          <w:p w:rsidR="00986B6E" w:rsidRDefault="00BD3431">
            <w:pPr>
              <w:keepNext w:val="0"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Резервные копии и проверка возврата данных</w:t>
            </w:r>
          </w:p>
        </w:tc>
        <w:tc>
          <w:tcPr>
            <w:tcW w:w="3061" w:type="dxa"/>
            <w:vAlign w:val="center"/>
          </w:tcPr>
          <w:p w:rsidR="00986B6E" w:rsidRDefault="00BD3431">
            <w:pPr>
              <w:keepNext w:val="0"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Успешный тест</w:t>
            </w:r>
            <w:r>
              <w:rPr>
                <w:rFonts w:eastAsia="Times New Roman" w:cs="Times New Roman"/>
                <w:sz w:val="21"/>
                <w:lang w:val="ru-RU"/>
              </w:rPr>
              <w:t xml:space="preserve"> восстановления</w:t>
            </w:r>
          </w:p>
        </w:tc>
      </w:tr>
    </w:tbl>
    <w:p w:rsidR="00986B6E" w:rsidRDefault="00986B6E">
      <w:pPr>
        <w:spacing w:line="20" w:lineRule="exact"/>
        <w:ind w:firstLine="0"/>
      </w:pPr>
    </w:p>
    <w:p w:rsidR="00986B6E" w:rsidRDefault="00BD3431">
      <w:pPr>
        <w:jc w:val="both"/>
      </w:pPr>
      <w:r>
        <w:rPr>
          <w:rFonts w:eastAsia="Times New Roman" w:cs="Times New Roman"/>
          <w:lang w:val="ru-RU"/>
        </w:rPr>
        <w:t>У системы могут быть удобный интерфейс и высокая скорость, но недостаточная аналитика по источникам. Другой продукт может поддерживать нужные регистры, но требовать значительной настройки. Решение принимают по доказанным требованиям, затр</w:t>
      </w:r>
      <w:r>
        <w:rPr>
          <w:rFonts w:eastAsia="Times New Roman" w:cs="Times New Roman"/>
          <w:lang w:val="ru-RU"/>
        </w:rPr>
        <w:t>атам внедрения и сопровождения, а не по одному демонстрационному экрану.</w:t>
      </w:r>
    </w:p>
    <w:p w:rsidR="00986B6E" w:rsidRDefault="00BD3431">
      <w:pPr>
        <w:jc w:val="both"/>
      </w:pPr>
      <w:r>
        <w:rPr>
          <w:rFonts w:eastAsia="Times New Roman" w:cs="Times New Roman"/>
          <w:lang w:val="ru-RU"/>
        </w:rPr>
        <w:lastRenderedPageBreak/>
        <w:t xml:space="preserve">Стоимость использования включает не только лицензию. Важны перенос данных, настройка, обучение, сопровождение изменений законодательства, интеграции и восстановление после сбоев. Для </w:t>
      </w:r>
      <w:r>
        <w:rPr>
          <w:rFonts w:eastAsia="Times New Roman" w:cs="Times New Roman"/>
          <w:lang w:val="ru-RU"/>
        </w:rPr>
        <w:t>учебной оценки эти затраты сравнивают с ожидаемым сокращением ошибок и времени обработки без произвольных обещаний окупаемости.</w:t>
      </w:r>
    </w:p>
    <w:p>
      <w:pPr>
        <w:keepNext w:val="0"/>
        <w:jc w:val="both"/>
      </w:pPr>
      <w:r>
        <w:rPr>
          <w:rFonts w:eastAsia="Times New Roman" w:cs="Times New Roman"/>
          <w:lang w:val="ru-RU"/>
        </w:rPr>
        <w:t>Требования МСФО ОС преобразуются в параметры учета: по основным средствам — единица, дата готовности, стоимость, срок и накопленная амортизация; по доходам — вид соглашения, исполняемые обязанности и момент признания; по расчетам — сроки и основания; по отчетности — сопоставимые данные и раскрытия. Если требуется отдельная отчетность по IPSAS, различия с национальным учетом отражают документированными преобразованиями, сохраняя связь с исходной записью. [М1, М39, М45, М47]</w:t>
      </w:r>
    </w:p>
    <w:p w:rsidR="00986B6E" w:rsidRDefault="00BD3431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3 Справочники и качество данных</w:t>
      </w:r>
    </w:p>
    <w:p w:rsidR="00986B6E" w:rsidRDefault="00BD3431">
      <w:pPr>
        <w:jc w:val="both"/>
      </w:pPr>
      <w:r>
        <w:rPr>
          <w:rFonts w:eastAsia="Times New Roman" w:cs="Times New Roman"/>
          <w:lang w:val="ru-RU"/>
        </w:rPr>
        <w:t xml:space="preserve">Ключевые справочники включают контрагентов, договоры, работников, объекты имущества и источники </w:t>
      </w:r>
      <w:r>
        <w:rPr>
          <w:rFonts w:eastAsia="Times New Roman" w:cs="Times New Roman"/>
          <w:lang w:val="ru-RU"/>
        </w:rPr>
        <w:t>финансирования. Два наименования одного поставщика могут породить два отдельных остатка и затруднить обнаружение переплаты. Идентификатор и проверяемые реквизиты важнее внешнего сходства названий.</w:t>
      </w:r>
    </w:p>
    <w:p w:rsidR="00986B6E" w:rsidRDefault="00BD3431">
      <w:pPr>
        <w:jc w:val="both"/>
      </w:pPr>
      <w:r>
        <w:rPr>
          <w:rFonts w:eastAsia="Times New Roman" w:cs="Times New Roman"/>
          <w:lang w:val="ru-RU"/>
        </w:rPr>
        <w:t>Качество данных оценивается по полноте, правильности, сопос</w:t>
      </w:r>
      <w:r>
        <w:rPr>
          <w:rFonts w:eastAsia="Times New Roman" w:cs="Times New Roman"/>
          <w:lang w:val="ru-RU"/>
        </w:rPr>
        <w:t>тавимости и отсутствию необоснованных повторов. Значение «не заполнено» нельзя автоматически заменять нулем, если ноль имеет самостоятельный экономический смысл. Ошибка источника финансирования может сохраниться при полностью правильной общей сумме.</w:t>
      </w:r>
    </w:p>
    <w:p w:rsidR="00986B6E" w:rsidRDefault="00BD3431">
      <w:pPr>
        <w:jc w:val="both"/>
      </w:pPr>
      <w:r>
        <w:rPr>
          <w:rFonts w:eastAsia="Times New Roman" w:cs="Times New Roman"/>
          <w:lang w:val="ru-RU"/>
        </w:rPr>
        <w:t xml:space="preserve">Перед </w:t>
      </w:r>
      <w:r>
        <w:rPr>
          <w:rFonts w:eastAsia="Times New Roman" w:cs="Times New Roman"/>
          <w:lang w:val="ru-RU"/>
        </w:rPr>
        <w:t>загрузкой документов задают правило уникальности. Например, сочетание поставщика, номера, даты и суммы помогает найти возможный повтор, но не всегда доказывает его: возможны одинаковые счета по разным договорам. Система должна направлять сомнительное совпа</w:t>
      </w:r>
      <w:r>
        <w:rPr>
          <w:rFonts w:eastAsia="Times New Roman" w:cs="Times New Roman"/>
          <w:lang w:val="ru-RU"/>
        </w:rPr>
        <w:t>дение на проверку, а не безусловно удалять запись.</w:t>
      </w:r>
    </w:p>
    <w:p w:rsidR="00986B6E" w:rsidRDefault="00BD3431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4 Электронный документ и электронная подпись</w:t>
      </w:r>
    </w:p>
    <w:p w:rsidR="00986B6E" w:rsidRDefault="00BD3431">
      <w:pPr>
        <w:jc w:val="both"/>
      </w:pPr>
      <w:r>
        <w:rPr>
          <w:rFonts w:eastAsia="Times New Roman" w:cs="Times New Roman"/>
          <w:lang w:val="ru-RU"/>
        </w:rPr>
        <w:t>Электронный документооборот охватывает создание, согласование, подписание, передачу, хранение и поиск документов. Для 2026 года правовую основу электронного док</w:t>
      </w:r>
      <w:r>
        <w:rPr>
          <w:rFonts w:eastAsia="Times New Roman" w:cs="Times New Roman"/>
          <w:lang w:val="ru-RU"/>
        </w:rPr>
        <w:t>умента и подписи проверяют по действующему Цифровому кодексу № 255-VIII. Юридическая значимость связана с предусмотренными требованиями и полномочиями подписанта, а не только с расширением файла. [Н19]</w:t>
      </w:r>
    </w:p>
    <w:p w:rsidR="00986B6E" w:rsidRDefault="00BD3431">
      <w:pPr>
        <w:jc w:val="both"/>
      </w:pPr>
      <w:r>
        <w:rPr>
          <w:rFonts w:eastAsia="Times New Roman" w:cs="Times New Roman"/>
          <w:lang w:val="ru-RU"/>
        </w:rPr>
        <w:t>Скан бумажного документа, файл расчета и надлежащим об</w:t>
      </w:r>
      <w:r>
        <w:rPr>
          <w:rFonts w:eastAsia="Times New Roman" w:cs="Times New Roman"/>
          <w:lang w:val="ru-RU"/>
        </w:rPr>
        <w:t>разом подписанный электронный документ имеют разную роль. Файл PDF, присланный по почте, не следует автоматически считать равнозначным оформленному электронному оригиналу. Для учета нужно установить источник, целостность, содержание и необходимые подтвержд</w:t>
      </w:r>
      <w:r>
        <w:rPr>
          <w:rFonts w:eastAsia="Times New Roman" w:cs="Times New Roman"/>
          <w:lang w:val="ru-RU"/>
        </w:rPr>
        <w:t>ения.</w:t>
      </w:r>
    </w:p>
    <w:p w:rsidR="00986B6E" w:rsidRDefault="00BD3431">
      <w:pPr>
        <w:jc w:val="both"/>
      </w:pPr>
      <w:r>
        <w:rPr>
          <w:rFonts w:eastAsia="Times New Roman" w:cs="Times New Roman"/>
          <w:lang w:val="ru-RU"/>
        </w:rPr>
        <w:t>Статусы документа должны быть понятными: подготовлен, проверен, согласован, подписан, отражен в учете, отклонен. Если пользователь может заменить файл после согласования без истории, прежняя подпись проверки теряет связь с содержанием. Версия докумен</w:t>
      </w:r>
      <w:r>
        <w:rPr>
          <w:rFonts w:eastAsia="Times New Roman" w:cs="Times New Roman"/>
          <w:lang w:val="ru-RU"/>
        </w:rPr>
        <w:t>та и учетная запись должны сохранять проверяемую взаимосвязь.</w:t>
      </w:r>
    </w:p>
    <w:p>
      <w:pPr>
        <w:keepNext w:val="0"/>
        <w:jc w:val="both"/>
      </w:pPr>
      <w:r>
        <w:rPr>
          <w:rFonts w:eastAsia="Times New Roman" w:cs="Times New Roman"/>
          <w:lang w:val="ru-RU"/>
        </w:rPr>
        <w:t>Электронный первичный документ должен сохраняться вместе с данными, позволяющими проверить подпись, целостность, полномочия подписанта и связь с хозяйственной операцией. Визуальная копия без проверяемого электронного оригинала не обеспечивает весь объем такого подтверждения. Сроки и режим хранения определяются применимыми правилами учета и архивного дела; удаление документа из интерфейса не прекращает обязанность его хранения. [Н3, Н7, Н19]</w:t>
      </w:r>
    </w:p>
    <w:p w:rsidR="00986B6E" w:rsidRDefault="00BD3431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5 Доступ и контроль изменений</w:t>
      </w:r>
    </w:p>
    <w:p w:rsidR="00986B6E" w:rsidRDefault="00BD3431">
      <w:pPr>
        <w:jc w:val="both"/>
      </w:pPr>
      <w:r>
        <w:rPr>
          <w:rFonts w:eastAsia="Times New Roman" w:cs="Times New Roman"/>
          <w:lang w:val="ru-RU"/>
        </w:rPr>
        <w:t xml:space="preserve">Права назначают по рабочим обязанностям. Пользователю, который вводит первичный документ, не обязательно разрешать изменение всех настроек или окончательное </w:t>
      </w:r>
      <w:r>
        <w:rPr>
          <w:rFonts w:eastAsia="Times New Roman" w:cs="Times New Roman"/>
          <w:lang w:val="ru-RU"/>
        </w:rPr>
        <w:t>согласование платежа. Увольнение или перевод работника должны сопровождаться пересмотром доступа, а общая учетная запись нескольких людей затрудняет установление ответственности.</w:t>
      </w:r>
    </w:p>
    <w:p w:rsidR="00986B6E" w:rsidRDefault="00BD3431">
      <w:pPr>
        <w:jc w:val="both"/>
      </w:pPr>
      <w:r>
        <w:rPr>
          <w:rFonts w:eastAsia="Times New Roman" w:cs="Times New Roman"/>
          <w:lang w:val="ru-RU"/>
        </w:rPr>
        <w:t>Журнал изменений помогает установить, кто, когда и что исправил. Само наличие</w:t>
      </w:r>
      <w:r>
        <w:rPr>
          <w:rFonts w:eastAsia="Times New Roman" w:cs="Times New Roman"/>
          <w:lang w:val="ru-RU"/>
        </w:rPr>
        <w:t xml:space="preserve"> журнала недостаточно: существенные изменения должны рассматриваться ответственным лицом. Особенно важны изменения банковских реквизитов, ставок, учетных настроек, источника и периода операции.</w:t>
      </w:r>
    </w:p>
    <w:p w:rsidR="00986B6E" w:rsidRDefault="00BD3431">
      <w:pPr>
        <w:jc w:val="both"/>
      </w:pPr>
      <w:r>
        <w:rPr>
          <w:rFonts w:eastAsia="Times New Roman" w:cs="Times New Roman"/>
          <w:lang w:val="ru-RU"/>
        </w:rPr>
        <w:t>Резервное копирование проверяют восстановлением. Сообщение «ко</w:t>
      </w:r>
      <w:r>
        <w:rPr>
          <w:rFonts w:eastAsia="Times New Roman" w:cs="Times New Roman"/>
          <w:lang w:val="ru-RU"/>
        </w:rPr>
        <w:t>пия создана» не доказывает, что данные можно вернуть в нужном объеме. Для финансового учета при восстановлении сверяют остатки, проведенные документы и состояние интеграций. Тест выполняют так, чтобы не повредить рабочие данные и не потерять контроль над п</w:t>
      </w:r>
      <w:r>
        <w:rPr>
          <w:rFonts w:eastAsia="Times New Roman" w:cs="Times New Roman"/>
          <w:lang w:val="ru-RU"/>
        </w:rPr>
        <w:t>оследующими операциями.</w:t>
      </w:r>
    </w:p>
    <w:p w:rsidR="00986B6E" w:rsidRDefault="00BD3431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6 Разобранный пример переноса остатков</w:t>
      </w:r>
    </w:p>
    <w:p w:rsidR="00986B6E" w:rsidRDefault="00BD3431">
      <w:pPr>
        <w:jc w:val="both"/>
      </w:pPr>
      <w:r>
        <w:rPr>
          <w:rFonts w:eastAsia="Times New Roman" w:cs="Times New Roman"/>
          <w:lang w:val="ru-RU"/>
        </w:rPr>
        <w:t>Перед переносом активы учреждения равны 15 000, обязательства — 4 000, чистые активы — 11 000 тыс. тенге. В новой системе одна задолженность 400 загружена дважды. Для достижения формального рав</w:t>
      </w:r>
      <w:r>
        <w:rPr>
          <w:rFonts w:eastAsia="Times New Roman" w:cs="Times New Roman"/>
          <w:lang w:val="ru-RU"/>
        </w:rPr>
        <w:t>енства оператор уменьшил начальный остаток чистых активов до 10 600. В новой системе получилось 15 000 = 4 400 + 10 600.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90" w:type="dxa"/>
          <w:bottom w:w="65" w:type="dxa"/>
          <w:right w:w="90" w:type="dxa"/>
        </w:tblCellMar>
        <w:tblLook w:val="04A0" w:firstRow="1" w:lastRow="0" w:firstColumn="1" w:lastColumn="0" w:noHBand="0" w:noVBand="1"/>
      </w:tblPr>
      <w:tblGrid>
        <w:gridCol w:w="4365"/>
        <w:gridCol w:w="1701"/>
        <w:gridCol w:w="1701"/>
        <w:gridCol w:w="1701"/>
      </w:tblGrid>
      <w:tr w:rsidR="00986B6E">
        <w:trPr>
          <w:cantSplit/>
          <w:tblHeader/>
          <w:jc w:val="center"/>
        </w:trPr>
        <w:tc>
          <w:tcPr>
            <w:tcW w:w="4365" w:type="dxa"/>
            <w:shd w:val="clear" w:color="auto" w:fill="E8EFF5"/>
            <w:vAlign w:val="center"/>
          </w:tcPr>
          <w:p w:rsidR="00986B6E" w:rsidRDefault="00BD34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Состояние данных</w:t>
            </w:r>
          </w:p>
        </w:tc>
        <w:tc>
          <w:tcPr>
            <w:tcW w:w="1701" w:type="dxa"/>
            <w:shd w:val="clear" w:color="auto" w:fill="E8EFF5"/>
            <w:vAlign w:val="center"/>
          </w:tcPr>
          <w:p w:rsidR="00986B6E" w:rsidRDefault="00BD3431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Активы</w:t>
            </w:r>
          </w:p>
        </w:tc>
        <w:tc>
          <w:tcPr>
            <w:tcW w:w="1701" w:type="dxa"/>
            <w:shd w:val="clear" w:color="auto" w:fill="E8EFF5"/>
            <w:vAlign w:val="center"/>
          </w:tcPr>
          <w:p w:rsidR="00986B6E" w:rsidRDefault="00BD34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Обязательства</w:t>
            </w:r>
          </w:p>
        </w:tc>
        <w:tc>
          <w:tcPr>
            <w:tcW w:w="1701" w:type="dxa"/>
            <w:shd w:val="clear" w:color="auto" w:fill="E8EFF5"/>
            <w:vAlign w:val="center"/>
          </w:tcPr>
          <w:p w:rsidR="00986B6E" w:rsidRDefault="00BD34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b/>
                <w:sz w:val="21"/>
                <w:lang w:val="ru-RU"/>
              </w:rPr>
              <w:t>Чистые активы</w:t>
            </w:r>
          </w:p>
        </w:tc>
      </w:tr>
      <w:tr w:rsidR="00986B6E">
        <w:trPr>
          <w:cantSplit/>
          <w:jc w:val="center"/>
        </w:trPr>
        <w:tc>
          <w:tcPr>
            <w:tcW w:w="4365" w:type="dxa"/>
            <w:vAlign w:val="center"/>
          </w:tcPr>
          <w:p w:rsidR="00986B6E" w:rsidRDefault="00BD34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Подтвержденная исходная база</w:t>
            </w:r>
          </w:p>
        </w:tc>
        <w:tc>
          <w:tcPr>
            <w:tcW w:w="1701" w:type="dxa"/>
            <w:vAlign w:val="center"/>
          </w:tcPr>
          <w:p w:rsidR="00986B6E" w:rsidRDefault="00BD3431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15 000</w:t>
            </w:r>
          </w:p>
        </w:tc>
        <w:tc>
          <w:tcPr>
            <w:tcW w:w="1701" w:type="dxa"/>
            <w:vAlign w:val="center"/>
          </w:tcPr>
          <w:p w:rsidR="00986B6E" w:rsidRDefault="00BD3431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4 000</w:t>
            </w:r>
          </w:p>
        </w:tc>
        <w:tc>
          <w:tcPr>
            <w:tcW w:w="1701" w:type="dxa"/>
            <w:vAlign w:val="center"/>
          </w:tcPr>
          <w:p w:rsidR="00986B6E" w:rsidRDefault="00BD3431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11 000</w:t>
            </w:r>
          </w:p>
        </w:tc>
      </w:tr>
      <w:tr w:rsidR="00986B6E">
        <w:trPr>
          <w:cantSplit/>
          <w:jc w:val="center"/>
        </w:trPr>
        <w:tc>
          <w:tcPr>
            <w:tcW w:w="4365" w:type="dxa"/>
            <w:vAlign w:val="center"/>
          </w:tcPr>
          <w:p w:rsidR="00986B6E" w:rsidRDefault="00BD3431">
            <w:pPr>
              <w:keepNext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 xml:space="preserve">Ошибочная загрузка с подгонкой </w:t>
            </w:r>
            <w:r>
              <w:rPr>
                <w:rFonts w:eastAsia="Times New Roman" w:cs="Times New Roman"/>
                <w:sz w:val="21"/>
                <w:lang w:val="ru-RU"/>
              </w:rPr>
              <w:t>итога</w:t>
            </w:r>
          </w:p>
        </w:tc>
        <w:tc>
          <w:tcPr>
            <w:tcW w:w="1701" w:type="dxa"/>
            <w:vAlign w:val="center"/>
          </w:tcPr>
          <w:p w:rsidR="00986B6E" w:rsidRDefault="00BD3431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15 000</w:t>
            </w:r>
          </w:p>
        </w:tc>
        <w:tc>
          <w:tcPr>
            <w:tcW w:w="1701" w:type="dxa"/>
            <w:vAlign w:val="center"/>
          </w:tcPr>
          <w:p w:rsidR="00986B6E" w:rsidRDefault="00BD3431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4 400</w:t>
            </w:r>
          </w:p>
        </w:tc>
        <w:tc>
          <w:tcPr>
            <w:tcW w:w="1701" w:type="dxa"/>
            <w:vAlign w:val="center"/>
          </w:tcPr>
          <w:p w:rsidR="00986B6E" w:rsidRDefault="00BD3431">
            <w:pPr>
              <w:keepNext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10 600</w:t>
            </w:r>
          </w:p>
        </w:tc>
      </w:tr>
      <w:tr w:rsidR="00986B6E">
        <w:trPr>
          <w:cantSplit/>
          <w:jc w:val="center"/>
        </w:trPr>
        <w:tc>
          <w:tcPr>
            <w:tcW w:w="4365" w:type="dxa"/>
            <w:vAlign w:val="center"/>
          </w:tcPr>
          <w:p w:rsidR="00986B6E" w:rsidRDefault="00BD3431">
            <w:pPr>
              <w:keepNext w:val="0"/>
              <w:spacing w:after="0" w:line="240" w:lineRule="auto"/>
              <w:ind w:firstLine="0"/>
            </w:pPr>
            <w:r>
              <w:rPr>
                <w:rFonts w:eastAsia="Times New Roman" w:cs="Times New Roman"/>
                <w:sz w:val="21"/>
                <w:lang w:val="ru-RU"/>
              </w:rPr>
              <w:t>После устранения повтора и восстановления основания</w:t>
            </w:r>
          </w:p>
        </w:tc>
        <w:tc>
          <w:tcPr>
            <w:tcW w:w="1701" w:type="dxa"/>
            <w:vAlign w:val="center"/>
          </w:tcPr>
          <w:p w:rsidR="00986B6E" w:rsidRDefault="00BD3431">
            <w:pPr>
              <w:keepNext w:val="0"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15 000</w:t>
            </w:r>
          </w:p>
        </w:tc>
        <w:tc>
          <w:tcPr>
            <w:tcW w:w="1701" w:type="dxa"/>
            <w:vAlign w:val="center"/>
          </w:tcPr>
          <w:p w:rsidR="00986B6E" w:rsidRDefault="00BD3431">
            <w:pPr>
              <w:keepNext w:val="0"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4 000</w:t>
            </w:r>
          </w:p>
        </w:tc>
        <w:tc>
          <w:tcPr>
            <w:tcW w:w="1701" w:type="dxa"/>
            <w:vAlign w:val="center"/>
          </w:tcPr>
          <w:p w:rsidR="00986B6E" w:rsidRDefault="00BD3431">
            <w:pPr>
              <w:keepNext w:val="0"/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sz w:val="21"/>
                <w:lang w:val="ru-RU"/>
              </w:rPr>
              <w:t>11 000</w:t>
            </w:r>
          </w:p>
        </w:tc>
      </w:tr>
    </w:tbl>
    <w:p w:rsidR="00986B6E" w:rsidRDefault="00986B6E">
      <w:pPr>
        <w:spacing w:line="20" w:lineRule="exact"/>
        <w:ind w:firstLine="0"/>
      </w:pPr>
    </w:p>
    <w:p w:rsidR="00986B6E" w:rsidRDefault="00BD3431">
      <w:pPr>
        <w:jc w:val="both"/>
      </w:pPr>
      <w:r>
        <w:rPr>
          <w:rFonts w:eastAsia="Times New Roman" w:cs="Times New Roman"/>
          <w:lang w:val="ru-RU"/>
        </w:rPr>
        <w:t xml:space="preserve">Баланс сходился и в ошибочном варианте. Ошибку выявляет сравнение обязательств по контрагентам и договорам с исходными данными. Начальные чистые активы </w:t>
      </w:r>
      <w:r>
        <w:rPr>
          <w:rFonts w:eastAsia="Times New Roman" w:cs="Times New Roman"/>
          <w:lang w:val="ru-RU"/>
        </w:rPr>
        <w:t>нельзя использовать как произвольную сумму для закрытия расхождения. Исправление требует устранить повтор и восстановить документально подтвержденные остатки.</w:t>
      </w:r>
    </w:p>
    <w:p w:rsidR="00986B6E" w:rsidRDefault="00BD3431">
      <w:pPr>
        <w:jc w:val="both"/>
      </w:pPr>
      <w:r>
        <w:rPr>
          <w:rFonts w:eastAsia="Times New Roman" w:cs="Times New Roman"/>
          <w:lang w:val="ru-RU"/>
        </w:rPr>
        <w:t>Приемка переноса включает контроль количества записей, сумм по счетам, аналитики и отдельных суще</w:t>
      </w:r>
      <w:r>
        <w:rPr>
          <w:rFonts w:eastAsia="Times New Roman" w:cs="Times New Roman"/>
          <w:lang w:val="ru-RU"/>
        </w:rPr>
        <w:t>ственных объектов. Для незакрытых авансов и расчетов особенно важны договор и период. Итоговый протокол фиксирует расхождения, решения и подтверждение ответственных, а не только общий результат «загрузка выполнена».</w:t>
      </w:r>
    </w:p>
    <w:p>
      <w:pPr>
        <w:keepNext w:val="0"/>
        <w:jc w:val="both"/>
      </w:pPr>
      <w:r>
        <w:rPr>
          <w:rFonts w:eastAsia="Times New Roman" w:cs="Times New Roman"/>
          <w:lang w:val="ru-RU"/>
        </w:rPr>
        <w:t>Перенос в новую программу сам по себе не является изменением учетной политики. Одинаковые объекты должны сохранять подтвержденные значения и аналитику. Выявленный повтор исправляют как ошибку данных; новую оценку срока использования отражают как изменение оценки; изменение учетного метода рассматривают отдельно по национальным правилам и МСФО ОС 3. Произвольная корректировка начального капитала не заменяет ни одну из этих процедур. [Н3, Н5; М3]</w:t>
      </w:r>
    </w:p>
    <w:p w:rsidR="00986B6E" w:rsidRDefault="00BD3431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7 Последовательность внедрения</w:t>
      </w:r>
    </w:p>
    <w:p w:rsidR="00986B6E" w:rsidRDefault="00BD3431">
      <w:pPr>
        <w:jc w:val="both"/>
      </w:pPr>
      <w:r>
        <w:rPr>
          <w:rFonts w:eastAsia="Times New Roman" w:cs="Times New Roman"/>
          <w:lang w:val="ru-RU"/>
        </w:rPr>
        <w:t>Сначала о</w:t>
      </w:r>
      <w:r>
        <w:rPr>
          <w:rFonts w:eastAsia="Times New Roman" w:cs="Times New Roman"/>
          <w:lang w:val="ru-RU"/>
        </w:rPr>
        <w:t>писывают процессы и требования, очищают справочники и определяют соответствие счетов. Затем переносят тестовые данные и воспроизводят типичные операции: начисление зарплаты, поступление материалов, приобретение оборудования, аванс, платеж и закрытие период</w:t>
      </w:r>
      <w:r>
        <w:rPr>
          <w:rFonts w:eastAsia="Times New Roman" w:cs="Times New Roman"/>
          <w:lang w:val="ru-RU"/>
        </w:rPr>
        <w:t>а. На каждом тесте сравнивают документ, проводку, аналитический регистр и итог формы.</w:t>
      </w:r>
    </w:p>
    <w:p w:rsidR="00986B6E" w:rsidRDefault="00BD3431">
      <w:pPr>
        <w:jc w:val="both"/>
      </w:pPr>
      <w:r>
        <w:rPr>
          <w:rFonts w:eastAsia="Times New Roman" w:cs="Times New Roman"/>
          <w:lang w:val="ru-RU"/>
        </w:rPr>
        <w:t xml:space="preserve">После обучения пользователей проводят приемку и определяют порядок перехода на рабочую базу. Параллельная сверка ограниченного периода помогает обнаружить различия. Срок </w:t>
      </w:r>
      <w:r>
        <w:rPr>
          <w:rFonts w:eastAsia="Times New Roman" w:cs="Times New Roman"/>
          <w:lang w:val="ru-RU"/>
        </w:rPr>
        <w:t>запуска не должен подменять критерии приемки: если остатки и отчетность не согласованы, требуется разрешить причины, а не скрыть их общей корректировкой.</w:t>
      </w:r>
    </w:p>
    <w:p w:rsidR="00986B6E" w:rsidRDefault="00BD3431">
      <w:pPr>
        <w:jc w:val="both"/>
      </w:pPr>
      <w:r>
        <w:rPr>
          <w:rFonts w:eastAsia="Times New Roman" w:cs="Times New Roman"/>
          <w:lang w:val="ru-RU"/>
        </w:rPr>
        <w:t>Результат автоматизации оценивают показателями процесса: временем обработки, долей возвратов документо</w:t>
      </w:r>
      <w:r>
        <w:rPr>
          <w:rFonts w:eastAsia="Times New Roman" w:cs="Times New Roman"/>
          <w:lang w:val="ru-RU"/>
        </w:rPr>
        <w:t>в, числом повторных записей, сроком закрытия и долей выявленных расхождений. Рост количества введенных документов сам по себе не доказывает повышение качества. Ускорение полезно при сохранении достоверности и контроля.</w:t>
      </w:r>
    </w:p>
    <w:p w:rsidR="00986B6E" w:rsidRDefault="00BD3431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Частые ошибки</w:t>
      </w:r>
    </w:p>
    <w:p w:rsidR="00986B6E" w:rsidRDefault="00BD3431">
      <w:pPr>
        <w:pStyle w:val="a0"/>
        <w:ind w:left="510" w:hanging="170"/>
        <w:jc w:val="both"/>
      </w:pPr>
      <w:r>
        <w:rPr>
          <w:rFonts w:eastAsia="Times New Roman" w:cs="Times New Roman"/>
          <w:lang w:val="ru-RU"/>
        </w:rPr>
        <w:t>Считать любое программн</w:t>
      </w:r>
      <w:r>
        <w:rPr>
          <w:rFonts w:eastAsia="Times New Roman" w:cs="Times New Roman"/>
          <w:lang w:val="ru-RU"/>
        </w:rPr>
        <w:t>ое решение автоматически соответствующим учету государственных учреждений РК.</w:t>
      </w:r>
    </w:p>
    <w:p w:rsidR="00986B6E" w:rsidRDefault="00BD3431">
      <w:pPr>
        <w:pStyle w:val="a0"/>
        <w:ind w:left="510" w:hanging="170"/>
        <w:jc w:val="both"/>
      </w:pPr>
      <w:r>
        <w:rPr>
          <w:rFonts w:eastAsia="Times New Roman" w:cs="Times New Roman"/>
          <w:lang w:val="ru-RU"/>
        </w:rPr>
        <w:t>Переносить неочищенные справочники и повторные записи.</w:t>
      </w:r>
    </w:p>
    <w:p w:rsidR="00986B6E" w:rsidRDefault="00BD3431">
      <w:pPr>
        <w:pStyle w:val="a0"/>
        <w:ind w:left="510" w:hanging="170"/>
        <w:jc w:val="both"/>
      </w:pPr>
      <w:r>
        <w:rPr>
          <w:rFonts w:eastAsia="Times New Roman" w:cs="Times New Roman"/>
          <w:lang w:val="ru-RU"/>
        </w:rPr>
        <w:t>Подгонять начальные чистые активы ради равенства баланса.</w:t>
      </w:r>
    </w:p>
    <w:p w:rsidR="00986B6E" w:rsidRDefault="00BD3431">
      <w:pPr>
        <w:pStyle w:val="a0"/>
        <w:ind w:left="510" w:hanging="170"/>
        <w:jc w:val="both"/>
      </w:pPr>
      <w:r>
        <w:rPr>
          <w:rFonts w:eastAsia="Times New Roman" w:cs="Times New Roman"/>
          <w:lang w:val="ru-RU"/>
        </w:rPr>
        <w:t>Приравнивать скан документа к любому электронному оригиналу.</w:t>
      </w:r>
    </w:p>
    <w:p w:rsidR="00986B6E" w:rsidRDefault="00BD3431">
      <w:pPr>
        <w:pStyle w:val="a0"/>
        <w:ind w:left="510" w:hanging="170"/>
        <w:jc w:val="both"/>
      </w:pPr>
      <w:r>
        <w:rPr>
          <w:rFonts w:eastAsia="Times New Roman" w:cs="Times New Roman"/>
          <w:lang w:val="ru-RU"/>
        </w:rPr>
        <w:t>Счит</w:t>
      </w:r>
      <w:r>
        <w:rPr>
          <w:rFonts w:eastAsia="Times New Roman" w:cs="Times New Roman"/>
          <w:lang w:val="ru-RU"/>
        </w:rPr>
        <w:t>ать сообщение о копировании доказательством восстановления.</w:t>
      </w:r>
    </w:p>
    <w:p w:rsidR="00986B6E" w:rsidRDefault="00BD3431">
      <w:pPr>
        <w:pStyle w:val="1"/>
        <w:keepNext/>
      </w:pPr>
      <w:r>
        <w:rPr>
          <w:rFonts w:ascii="Times New Roman" w:eastAsia="Times New Roman" w:hAnsi="Times New Roman" w:cs="Times New Roman"/>
          <w:lang w:val="ru-RU"/>
        </w:rPr>
        <w:t>Вопросы для обсуждения</w:t>
      </w:r>
    </w:p>
    <w:p w:rsidR="00986B6E" w:rsidRDefault="00BD3431">
      <w:pPr>
        <w:jc w:val="both"/>
      </w:pPr>
      <w:r>
        <w:rPr>
          <w:rFonts w:eastAsia="Times New Roman" w:cs="Times New Roman"/>
          <w:lang w:val="ru-RU"/>
        </w:rPr>
        <w:t>1. Почему выбор системы начинается с требований а не с названия продукта?</w:t>
      </w:r>
    </w:p>
    <w:p w:rsidR="00986B6E" w:rsidRDefault="00BD3431">
      <w:pPr>
        <w:jc w:val="both"/>
      </w:pPr>
      <w:r>
        <w:rPr>
          <w:rFonts w:eastAsia="Times New Roman" w:cs="Times New Roman"/>
          <w:lang w:val="ru-RU"/>
        </w:rPr>
        <w:t>2. Как ошибочная аналитика сохраняется при правильной общей сумме?</w:t>
      </w:r>
    </w:p>
    <w:p w:rsidR="00986B6E" w:rsidRDefault="00BD3431">
      <w:pPr>
        <w:jc w:val="both"/>
      </w:pPr>
      <w:r>
        <w:rPr>
          <w:rFonts w:eastAsia="Times New Roman" w:cs="Times New Roman"/>
          <w:lang w:val="ru-RU"/>
        </w:rPr>
        <w:t>3. Какие признаки различают верс</w:t>
      </w:r>
      <w:r>
        <w:rPr>
          <w:rFonts w:eastAsia="Times New Roman" w:cs="Times New Roman"/>
          <w:lang w:val="ru-RU"/>
        </w:rPr>
        <w:t>ии электронного документа?</w:t>
      </w:r>
    </w:p>
    <w:p w:rsidR="00986B6E" w:rsidRDefault="00BD3431">
      <w:pPr>
        <w:jc w:val="both"/>
      </w:pPr>
      <w:r>
        <w:rPr>
          <w:rFonts w:eastAsia="Times New Roman" w:cs="Times New Roman"/>
          <w:lang w:val="ru-RU"/>
        </w:rPr>
        <w:t>4. Как разделение доступа снижает риск ошибки платежа?</w:t>
      </w:r>
    </w:p>
    <w:p w:rsidR="00986B6E" w:rsidRDefault="00BD3431">
      <w:pPr>
        <w:jc w:val="both"/>
      </w:pPr>
      <w:r>
        <w:rPr>
          <w:rFonts w:eastAsia="Times New Roman" w:cs="Times New Roman"/>
          <w:lang w:val="ru-RU"/>
        </w:rPr>
        <w:t>5. Почему недостаточно проверить только общий баланс после переноса?</w:t>
      </w:r>
    </w:p>
    <w:p w:rsidR="00986B6E" w:rsidRDefault="00BD3431">
      <w:pPr>
        <w:jc w:val="both"/>
      </w:pPr>
      <w:r>
        <w:rPr>
          <w:rFonts w:eastAsia="Times New Roman" w:cs="Times New Roman"/>
          <w:lang w:val="ru-RU"/>
        </w:rPr>
        <w:t>6. Какие показатели подтверждают улучшение качества автоматизированного учета?</w:t>
      </w:r>
    </w:p>
    <w:p>
      <w:pPr>
        <w:pStyle w:val="1"/>
        <w:keepNext/>
      </w:pPr>
      <w:r>
        <w:rPr>
          <w:rFonts w:ascii="Times New Roman" w:hAnsi="Times New Roman"/>
          <w:b/>
          <w:sz w:val="24"/>
        </w:rPr>
        <w:t>Самопроверка</w:t>
      </w:r>
    </w:p>
    <w:p>
      <w:pPr>
        <w:keepNext w:val="0"/>
        <w:jc w:val="both"/>
      </w:pPr>
      <w:r>
        <w:rPr>
          <w:rFonts w:eastAsia="Times New Roman" w:cs="Times New Roman"/>
          <w:lang w:val="ru-RU"/>
        </w:rPr>
        <w:t>После переноса общая сумма основных средств совпала, но по двум объектам перепутаны инвентарные номера и сроки амортизации. Можно ли признать перенос завершенным?</w:t>
      </w:r>
    </w:p>
    <w:p>
      <w:pPr>
        <w:keepNext w:val="0"/>
        <w:jc w:val="both"/>
      </w:pPr>
      <w:r>
        <w:rPr>
          <w:rFonts w:eastAsia="Times New Roman" w:cs="Times New Roman"/>
          <w:lang w:val="ru-RU"/>
        </w:rPr>
        <w:t>Ответ. Нет. Общий итог не подтверждает правильность учета по объектам. Необходимо восстановить соответствие карточек, стоимости, накопленной амортизации и сроков; пересчитать затронутые начисления и проверить отчетность. Исправления подтверждаются протоколом сверки и учетными основаниями.</w:t>
      </w:r>
    </w:p>
    <w:p w:rsidR="00986B6E" w:rsidRDefault="00BD3431">
      <w:pPr>
        <w:pStyle w:val="1"/>
        <w:keepNext/>
      </w:pPr>
      <w:bookmarkStart w:id="0" w:name="_GoBack"/>
      <w:bookmarkEnd w:id="0"/>
      <w:r>
        <w:rPr>
          <w:rFonts w:ascii="Times New Roman" w:eastAsia="Times New Roman" w:hAnsi="Times New Roman" w:cs="Times New Roman"/>
          <w:lang w:val="ru-RU"/>
        </w:rPr>
        <w:t>Литература и нормативные источники</w:t>
      </w:r>
    </w:p>
    <w:p>
      <w:pPr>
        <w:spacing w:after="40"/>
      </w:pPr>
      <w:r>
        <w:t>НПА приведены в редакциях, действующих на 27 октября 2026 года. МСФО ОС — по материалам IPSASB; даты начала применения отдельных стандартов указаны в тексте.</w:t>
      </w:r>
    </w:p>
    <w:p>
      <w:pPr>
        <w:spacing w:after="40"/>
      </w:pPr>
      <w:r>
        <w:t xml:space="preserve">[Н3] </w:t>
      </w:r>
      <w:hyperlink r:id="rId8">
        <w:r>
          <w:rPr>
            <w:rFonts w:ascii="Times New Roman" w:hAnsi="Times New Roman"/>
            <w:sz w:val="24"/>
          </w:rPr>
          <w:t>Приказ Министра финансов РК от 12 мая 2025 года № 223 «Об утверждении Правил ведения бухгалтерского учета в государственных учреждениях».</w:t>
        </w:r>
      </w:hyperlink>
    </w:p>
    <w:p>
      <w:pPr>
        <w:spacing w:after="40"/>
      </w:pPr>
      <w:r>
        <w:t xml:space="preserve">[Н4] </w:t>
      </w:r>
      <w:hyperlink r:id="rId9">
        <w:r>
          <w:rPr>
            <w:rFonts w:ascii="Times New Roman" w:hAnsi="Times New Roman"/>
            <w:sz w:val="24"/>
          </w:rPr>
          <w:t>Приказ Министра финансов РК от 16 апреля 2025 года № 170 «Об утверждении Плана счетов бухгалтерского учета государственных учреждений».</w:t>
        </w:r>
      </w:hyperlink>
    </w:p>
    <w:p>
      <w:pPr>
        <w:spacing w:after="40"/>
      </w:pPr>
      <w:r>
        <w:t xml:space="preserve">[Н5] </w:t>
      </w:r>
      <w:hyperlink r:id="rId16">
        <w:r>
          <w:rPr>
            <w:rFonts w:ascii="Times New Roman" w:hAnsi="Times New Roman"/>
            <w:sz w:val="24"/>
          </w:rPr>
          <w:t>Приказ Министра финансов РК от 24 апреля 2025 года № 191 «Об утверждении Учетной политики».</w:t>
        </w:r>
      </w:hyperlink>
    </w:p>
    <w:p>
      <w:pPr>
        <w:spacing w:after="40"/>
      </w:pPr>
      <w:r>
        <w:t xml:space="preserve">[Н7] </w:t>
      </w:r>
      <w:hyperlink r:id="rId10">
        <w:r>
          <w:rPr>
            <w:rFonts w:ascii="Times New Roman" w:hAnsi="Times New Roman"/>
            <w:sz w:val="24"/>
          </w:rPr>
          <w:t>Приказ и.о. Министра финансов РК от 22 апреля 2025 года № 187 «Об утверждении форм бухгалтерской документации для государственных учреждений».</w:t>
        </w:r>
      </w:hyperlink>
    </w:p>
    <w:p>
      <w:pPr>
        <w:spacing w:after="40"/>
      </w:pPr>
      <w:r>
        <w:t xml:space="preserve">[Н9] </w:t>
      </w:r>
      <w:hyperlink r:id="rId11">
        <w:r>
          <w:rPr>
            <w:rFonts w:ascii="Times New Roman" w:hAnsi="Times New Roman"/>
            <w:sz w:val="24"/>
          </w:rPr>
          <w:t>Приказ и.о. Министра финансов РК от 15 мая 2025 года № 230 «Об утверждении форм, периодичности и правил составления и представления финансовой отчетности».</w:t>
        </w:r>
      </w:hyperlink>
    </w:p>
    <w:p>
      <w:pPr>
        <w:spacing w:after="40"/>
      </w:pPr>
      <w:r>
        <w:t xml:space="preserve">[Н19] </w:t>
      </w:r>
      <w:hyperlink r:id="rId12">
        <w:r>
          <w:rPr>
            <w:rFonts w:ascii="Times New Roman" w:hAnsi="Times New Roman"/>
            <w:sz w:val="24"/>
          </w:rPr>
          <w:t>Цифровой кодекс РК от 9 января 2026 года № 255-VIII.</w:t>
        </w:r>
      </w:hyperlink>
    </w:p>
    <w:p>
      <w:pPr>
        <w:spacing w:after="40"/>
      </w:pPr>
      <w:r>
        <w:t xml:space="preserve">[М1] </w:t>
      </w:r>
      <w:hyperlink r:id="rId17">
        <w:r>
          <w:rPr>
            <w:rFonts w:ascii="Times New Roman" w:hAnsi="Times New Roman"/>
            <w:sz w:val="24"/>
          </w:rPr>
          <w:t>МСФО ОС (IPSAS) 1 «Представление финансовой отчетности». IPSASB, редакция сборника 2026 года.</w:t>
        </w:r>
      </w:hyperlink>
    </w:p>
    <w:p>
      <w:pPr>
        <w:spacing w:after="40"/>
      </w:pPr>
      <w:r>
        <w:t xml:space="preserve">[М3] </w:t>
      </w:r>
      <w:hyperlink r:id="rId17">
        <w:r>
          <w:rPr>
            <w:rFonts w:ascii="Times New Roman" w:hAnsi="Times New Roman"/>
            <w:sz w:val="24"/>
          </w:rPr>
          <w:t>МСФО ОС (IPSAS) 3 «Учетная политика, изменения оценочных значений и ошибки». IPSASB, редакция сборника 2026 года.</w:t>
        </w:r>
      </w:hyperlink>
    </w:p>
    <w:p>
      <w:pPr>
        <w:spacing w:after="40"/>
      </w:pPr>
      <w:r>
        <w:t xml:space="preserve">[М39] </w:t>
      </w:r>
      <w:hyperlink r:id="rId18">
        <w:r>
          <w:rPr>
            <w:rFonts w:ascii="Times New Roman" w:hAnsi="Times New Roman"/>
            <w:sz w:val="24"/>
          </w:rPr>
          <w:t>МСФО ОС (IPSAS) 39 «Вознаграждения работникам». IPSASB, редакция сборника 2026 года.</w:t>
        </w:r>
      </w:hyperlink>
    </w:p>
    <w:p>
      <w:pPr>
        <w:spacing w:after="40"/>
      </w:pPr>
      <w:r>
        <w:t xml:space="preserve">[М45] </w:t>
      </w:r>
      <w:hyperlink r:id="rId19">
        <w:r>
          <w:rPr>
            <w:rFonts w:ascii="Times New Roman" w:hAnsi="Times New Roman"/>
            <w:sz w:val="24"/>
          </w:rPr>
          <w:t>МСФО ОС (IPSAS) 45 «Основные средства». IPSASB, редакция сборника 2026 года.</w:t>
        </w:r>
      </w:hyperlink>
    </w:p>
    <w:p>
      <w:pPr>
        <w:spacing w:after="40"/>
      </w:pPr>
      <w:r>
        <w:t xml:space="preserve">[М47] </w:t>
      </w:r>
      <w:hyperlink r:id="rId20">
        <w:r>
          <w:rPr>
            <w:rFonts w:ascii="Times New Roman" w:hAnsi="Times New Roman"/>
            <w:sz w:val="24"/>
          </w:rPr>
          <w:t>МСФО ОС (IPSAS) 47 «Доходы». IPSASB, редакция сборника 2026 года.</w:t>
        </w:r>
      </w:hyperlink>
    </w:p>
    <w:p>
      <w:pPr>
        <w:spacing w:after="40"/>
      </w:pPr>
      <w:r>
        <w:t>Учебная литература: [Л1] и [Л5] в программе курса.</w:t>
      </w:r>
    </w:p>
    <w:sectPr w:rsidR="00986B6E" w:rsidSect="00034616">
      <w:footerReference w:type="default" r:id="rId13"/>
      <w:pgSz w:w="11906" w:h="16838"/>
      <w:pgMar w:top="1134" w:right="1134" w:bottom="1134" w:left="130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3431" w:rsidRDefault="00BD3431">
      <w:pPr>
        <w:spacing w:after="0" w:line="240" w:lineRule="auto"/>
      </w:pPr>
      <w:r>
        <w:separator/>
      </w:r>
    </w:p>
  </w:endnote>
  <w:endnote w:type="continuationSeparator" w:id="0">
    <w:p w:rsidR="00BD3431" w:rsidRDefault="00BD3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6B6E" w:rsidRDefault="00BD3431">
    <w:pPr>
      <w:pStyle w:val="a7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3431" w:rsidRDefault="00BD3431">
      <w:pPr>
        <w:spacing w:after="0" w:line="240" w:lineRule="auto"/>
      </w:pPr>
      <w:r>
        <w:separator/>
      </w:r>
    </w:p>
  </w:footnote>
  <w:footnote w:type="continuationSeparator" w:id="0">
    <w:p w:rsidR="00BD3431" w:rsidRDefault="00BD34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86B6E"/>
    <w:rsid w:val="009E0483"/>
    <w:rsid w:val="00A9478C"/>
    <w:rsid w:val="00AA1D8D"/>
    <w:rsid w:val="00B47730"/>
    <w:rsid w:val="00BD343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4B8F1C"/>
  <w14:defaultImageDpi w14:val="300"/>
  <w15:docId w15:val="{80EEAC84-5D3E-41CE-BD7F-E63F225A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 w:line="264" w:lineRule="auto"/>
      <w:ind w:firstLine="709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b/>
      <w:spacing w:val="5"/>
      <w:kern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adilet.zan.kz/rus/docs/G25E0000223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dilet.zan.kz/rus/docs/K260000025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ilet.zan.kz/rus/docs/G25E000023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adilet.zan.kz/rus/docs/G25E000018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ilet.zan.kz/rus/docs/G25E0000170" TargetMode="External"/><Relationship Id="rId14" Type="http://schemas.openxmlformats.org/officeDocument/2006/relationships/fontTable" Target="fontTable.xml"/><Relationship Id="rId16" Type="http://schemas.openxmlformats.org/officeDocument/2006/relationships/hyperlink" Target="https://adilet.zan.kz/rus/docs/G25E0000191" TargetMode="External"/><Relationship Id="rId17" Type="http://schemas.openxmlformats.org/officeDocument/2006/relationships/hyperlink" Target="https://www.ipsasb.org/publications/2026-handbook-international-public-sector-accounting-standards-board-pronouncements" TargetMode="External"/><Relationship Id="rId18" Type="http://schemas.openxmlformats.org/officeDocument/2006/relationships/hyperlink" Target="https://www.ipsasb.org/publications/ipsas-39-employee-benefits-2" TargetMode="External"/><Relationship Id="rId19" Type="http://schemas.openxmlformats.org/officeDocument/2006/relationships/hyperlink" Target="https://www.ipsasb.org/publications/ipsas-45-property-plant-and-equipment" TargetMode="External"/><Relationship Id="rId20" Type="http://schemas.openxmlformats.org/officeDocument/2006/relationships/hyperlink" Target="https://www.ipsasb.org/publications/ipsas-47-reven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AAF2AEF-C88B-49A1-A650-73C751E0D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1513</Words>
  <Characters>8625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 бухгалтерского учета в бюджетных учреждениях</dc:title>
  <dc:subject>Бухгалтерский учет в бюджетных организациях</dc:subject>
  <dc:creator/>
  <cp:keywords>Казахстан; государственные учреждения; учет; лекции; 2026</cp:keywords>
  <dc:description>generated by python-docx</dc:description>
  <cp:lastModifiedBy>Гульжан Байтикенова</cp:lastModifiedBy>
  <cp:revision>3</cp:revision>
  <dcterms:created xsi:type="dcterms:W3CDTF">2013-12-23T23:15:00Z</dcterms:created>
  <dcterms:modified xsi:type="dcterms:W3CDTF">2026-10-21T11:53:00Z</dcterms:modified>
  <cp:category/>
</cp:coreProperties>
</file>