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18A" w:rsidRDefault="00954031">
      <w:pPr>
        <w:keepNext/>
        <w:jc w:val="both"/>
      </w:pPr>
      <w:r>
        <w:rPr>
          <w:rFonts w:eastAsia="Times New Roman" w:cs="Times New Roman"/>
          <w:b/>
          <w:lang w:val="ru-RU"/>
        </w:rPr>
        <w:t>ЛЕКЦИЯ 8</w:t>
      </w:r>
    </w:p>
    <w:p w:rsidR="0013418A" w:rsidRDefault="00954031">
      <w:pPr>
        <w:pStyle w:val="aa"/>
        <w:keepNext/>
        <w:spacing w:after="160"/>
      </w:pPr>
      <w:r>
        <w:rPr>
          <w:rFonts w:ascii="Times New Roman" w:eastAsia="Times New Roman" w:hAnsi="Times New Roman" w:cs="Times New Roman"/>
          <w:lang w:val="ru-RU"/>
        </w:rPr>
        <w:t>Подготовка и анализ финансовой отчетности бюджетных организаций</w:t>
      </w:r>
    </w:p>
    <w:p>
      <w:pPr>
        <w:keepNext w:val="0"/>
        <w:jc w:val="both"/>
      </w:pPr>
      <w:r>
        <w:rPr>
          <w:rFonts w:eastAsia="Times New Roman" w:cs="Times New Roman"/>
          <w:lang w:val="ru-RU"/>
        </w:rPr>
        <w:t>Цель лекции. Сформировать комплект отчетности государственного учреждения, проверить взаимосвязь его показателей и объяснить требования МСФО ОС к представлению информации.</w:t>
      </w:r>
    </w:p>
    <w:p>
      <w:pPr>
        <w:keepNext w:val="0"/>
        <w:jc w:val="both"/>
      </w:pPr>
      <w:r>
        <w:rPr>
          <w:rFonts w:eastAsia="Times New Roman" w:cs="Times New Roman"/>
          <w:lang w:val="ru-RU"/>
        </w:rPr>
        <w:t>План лекции. Закрытие периода и формы отчетности; активы, обязательства и результат; движение денег; пояснения, ошибки и события после отчетной даты; анализ показателей.</w:t>
      </w:r>
    </w:p>
    <w:p w:rsidR="0013418A" w:rsidRDefault="00954031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Формирование финансовой отчетности</w:t>
      </w:r>
    </w:p>
    <w:p w:rsidR="0013418A" w:rsidRDefault="00954031">
      <w:pPr>
        <w:jc w:val="both"/>
      </w:pPr>
      <w:r>
        <w:rPr>
          <w:rFonts w:eastAsia="Times New Roman" w:cs="Times New Roman"/>
          <w:lang w:val="ru-RU"/>
        </w:rPr>
        <w:t xml:space="preserve">Финансовая отчетность представляет обобщенную информацию о ресурсах, обязательствах и результатах деятельности государственного учреждения. Ее пользователям важно </w:t>
      </w:r>
      <w:r>
        <w:rPr>
          <w:rFonts w:eastAsia="Times New Roman" w:cs="Times New Roman"/>
          <w:lang w:val="ru-RU"/>
        </w:rPr>
        <w:t>понимать не только исполнение денежных платежей, но и имущество, задолженность, накопленный результат и существенные условия использования ресурсов. Поэтому одна справка об освоении бюджета не заменяет финансовую отчетность.</w:t>
      </w:r>
    </w:p>
    <w:p w:rsidR="0013418A" w:rsidRDefault="00954031">
      <w:pPr>
        <w:jc w:val="both"/>
      </w:pPr>
      <w:r>
        <w:rPr>
          <w:rFonts w:eastAsia="Times New Roman" w:cs="Times New Roman"/>
          <w:lang w:val="ru-RU"/>
        </w:rPr>
        <w:t>Бюджетная отчетность и финансов</w:t>
      </w:r>
      <w:r>
        <w:rPr>
          <w:rFonts w:eastAsia="Times New Roman" w:cs="Times New Roman"/>
          <w:lang w:val="ru-RU"/>
        </w:rPr>
        <w:t>ая отчетность взаимосвязаны, но различаются назначением и составом показателей. Первая раскрывает исполнение бюджета в предусмотренных разрезах. Вторая основана на признанных объектах учета. Сопоставление требует понимать, где отражен платеж, где приобрете</w:t>
      </w:r>
      <w:r>
        <w:rPr>
          <w:rFonts w:eastAsia="Times New Roman" w:cs="Times New Roman"/>
          <w:lang w:val="ru-RU"/>
        </w:rPr>
        <w:t>н актив и где признан расход.</w:t>
      </w:r>
    </w:p>
    <w:p w:rsidR="0013418A" w:rsidRDefault="00954031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Подготовка данных и закрытие периода</w:t>
      </w:r>
    </w:p>
    <w:p w:rsidR="0013418A" w:rsidRDefault="00954031">
      <w:pPr>
        <w:jc w:val="both"/>
      </w:pPr>
      <w:r>
        <w:rPr>
          <w:rFonts w:eastAsia="Times New Roman" w:cs="Times New Roman"/>
          <w:lang w:val="ru-RU"/>
        </w:rPr>
        <w:t>Подготовка начинается с полноты первичных документов и сверки регистров. Проверяют остатки по источникам, движение запасов и основных средств, расчеты с поставщиками и работниками, налоги</w:t>
      </w:r>
      <w:r>
        <w:rPr>
          <w:rFonts w:eastAsia="Times New Roman" w:cs="Times New Roman"/>
          <w:lang w:val="ru-RU"/>
        </w:rPr>
        <w:t xml:space="preserve"> и социальные платежи. Нельзя получить достоверный баланс простым переносом непроверенных итогов оборотной ведомости.</w:t>
      </w:r>
    </w:p>
    <w:p w:rsidR="0013418A" w:rsidRDefault="00954031">
      <w:pPr>
        <w:jc w:val="both"/>
      </w:pPr>
      <w:r>
        <w:rPr>
          <w:rFonts w:eastAsia="Times New Roman" w:cs="Times New Roman"/>
          <w:lang w:val="ru-RU"/>
        </w:rPr>
        <w:t>События относятся к правильному периоду. Полученная, но не оплаченная услуга требует анализа начисления; аванс не заменяет расход. Начисля</w:t>
      </w:r>
      <w:r>
        <w:rPr>
          <w:rFonts w:eastAsia="Times New Roman" w:cs="Times New Roman"/>
          <w:lang w:val="ru-RU"/>
        </w:rPr>
        <w:t>ются предусмотренная амортизация и необходимые оценочные суммы, рассматриваются результаты инвентаризации и существенные обстоятельства после отчетной даты. Каждая корректировка должна иметь расчет и основание.</w:t>
      </w:r>
    </w:p>
    <w:p w:rsidR="0013418A" w:rsidRDefault="00954031">
      <w:pPr>
        <w:jc w:val="both"/>
      </w:pPr>
      <w:r>
        <w:rPr>
          <w:rFonts w:eastAsia="Times New Roman" w:cs="Times New Roman"/>
          <w:lang w:val="ru-RU"/>
        </w:rPr>
        <w:t xml:space="preserve">При закрытии используют проверку от частного </w:t>
      </w:r>
      <w:r>
        <w:rPr>
          <w:rFonts w:eastAsia="Times New Roman" w:cs="Times New Roman"/>
          <w:lang w:val="ru-RU"/>
        </w:rPr>
        <w:t>к общему: документ и аналитическая запись, итог по контрагенту или объекту, синтетический счет, строка отчетности. Если сумма строки верна только потому, что несколько ошибок взаимно погашаются, отчетность остается недостоверной. Поэтому проверка общего ра</w:t>
      </w:r>
      <w:r>
        <w:rPr>
          <w:rFonts w:eastAsia="Times New Roman" w:cs="Times New Roman"/>
          <w:lang w:val="ru-RU"/>
        </w:rPr>
        <w:t>венства дополняется расшифровкой состава.</w:t>
      </w:r>
    </w:p>
    <w:p w:rsidR="0013418A" w:rsidRDefault="00954031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Состав отчетности государственных учреждений</w:t>
      </w:r>
    </w:p>
    <w:p w:rsidR="0013418A" w:rsidRDefault="00954031">
      <w:pPr>
        <w:jc w:val="both"/>
      </w:pPr>
      <w:r>
        <w:rPr>
          <w:rFonts w:eastAsia="Times New Roman" w:cs="Times New Roman"/>
          <w:lang w:val="ru-RU"/>
        </w:rPr>
        <w:t>Формы финансовой отчетности, периодичность и порядок их представления установлены приказом № 230. Финансовый комплект раскрывает положение учреждения, результаты деятельности, денежные потоки и изменения чистых активов; использование целевых средств дополнительно объясняется в предусмотренных аналитических раскрытиях. [Н9]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90" w:type="dxa"/>
          <w:bottom w:w="65" w:type="dxa"/>
          <w:right w:w="90" w:type="dxa"/>
        </w:tblCellMar>
        <w:tblLook w:val="04A0" w:firstRow="1" w:lastRow="0" w:firstColumn="1" w:lastColumn="0" w:noHBand="0" w:noVBand="1"/>
      </w:tblPr>
      <w:tblGrid>
        <w:gridCol w:w="1134"/>
        <w:gridCol w:w="4706"/>
        <w:gridCol w:w="3628"/>
      </w:tblGrid>
      <w:tr w:rsidR="0013418A">
        <w:trPr>
          <w:cantSplit/>
          <w:tblHeader/>
          <w:jc w:val="center"/>
        </w:trPr>
        <w:tc>
          <w:tcPr>
            <w:tcW w:w="1134" w:type="dxa"/>
            <w:shd w:val="clear" w:color="auto" w:fill="E8EFF5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b/>
                <w:sz w:val="21"/>
                <w:lang w:val="ru-RU"/>
              </w:rPr>
              <w:t>Форма</w:t>
            </w:r>
          </w:p>
        </w:tc>
        <w:tc>
          <w:tcPr>
            <w:tcW w:w="4706" w:type="dxa"/>
            <w:shd w:val="clear" w:color="auto" w:fill="E8EFF5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b/>
                <w:sz w:val="21"/>
                <w:lang w:val="ru-RU"/>
              </w:rPr>
              <w:t>Наименование</w:t>
            </w:r>
          </w:p>
        </w:tc>
        <w:tc>
          <w:tcPr>
            <w:tcW w:w="3628" w:type="dxa"/>
            <w:shd w:val="clear" w:color="auto" w:fill="E8EFF5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b/>
                <w:sz w:val="21"/>
                <w:lang w:val="ru-RU"/>
              </w:rPr>
              <w:t>Основной вопрос</w:t>
            </w:r>
          </w:p>
        </w:tc>
      </w:tr>
      <w:tr w:rsidR="0013418A">
        <w:trPr>
          <w:cantSplit/>
          <w:jc w:val="center"/>
        </w:trPr>
        <w:tc>
          <w:tcPr>
            <w:tcW w:w="1134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ФО-1</w:t>
            </w:r>
          </w:p>
        </w:tc>
        <w:tc>
          <w:tcPr>
            <w:tcW w:w="4706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Бухгалтерский баланс</w:t>
            </w:r>
          </w:p>
        </w:tc>
        <w:tc>
          <w:tcPr>
            <w:tcW w:w="3628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Какие активы обязательства и чистые активы существуют</w:t>
            </w:r>
          </w:p>
        </w:tc>
      </w:tr>
      <w:tr w:rsidR="0013418A">
        <w:trPr>
          <w:cantSplit/>
          <w:jc w:val="center"/>
        </w:trPr>
        <w:tc>
          <w:tcPr>
            <w:tcW w:w="1134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ФО-2</w:t>
            </w:r>
          </w:p>
        </w:tc>
        <w:tc>
          <w:tcPr>
            <w:tcW w:w="4706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Отчет о результатах финансовой деятельности</w:t>
            </w:r>
          </w:p>
        </w:tc>
        <w:tc>
          <w:tcPr>
            <w:tcW w:w="3628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Какие доходы расходы и результат признаны</w:t>
            </w:r>
          </w:p>
        </w:tc>
      </w:tr>
      <w:tr w:rsidR="0013418A">
        <w:trPr>
          <w:cantSplit/>
          <w:jc w:val="center"/>
        </w:trPr>
        <w:tc>
          <w:tcPr>
            <w:tcW w:w="1134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ФО-3</w:t>
            </w:r>
          </w:p>
        </w:tc>
        <w:tc>
          <w:tcPr>
            <w:tcW w:w="4706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Отчет о движении денег на счетах государственного учреждения по источникам финансирования прямой метод</w:t>
            </w:r>
          </w:p>
        </w:tc>
        <w:tc>
          <w:tcPr>
            <w:tcW w:w="3628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Как изменились деньги по предусмотренным источникам</w:t>
            </w:r>
          </w:p>
        </w:tc>
      </w:tr>
      <w:tr w:rsidR="0013418A">
        <w:trPr>
          <w:cantSplit/>
          <w:jc w:val="center"/>
        </w:trPr>
        <w:tc>
          <w:tcPr>
            <w:tcW w:w="1134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lastRenderedPageBreak/>
              <w:t>ФО-4</w:t>
            </w:r>
          </w:p>
        </w:tc>
        <w:tc>
          <w:tcPr>
            <w:tcW w:w="4706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Отчет об изменениях чистых активов капитала</w:t>
            </w:r>
          </w:p>
        </w:tc>
        <w:tc>
          <w:tcPr>
            <w:tcW w:w="3628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Почему изменился остаток чистых активов</w:t>
            </w:r>
          </w:p>
        </w:tc>
      </w:tr>
      <w:tr w:rsidR="0013418A">
        <w:trPr>
          <w:cantSplit/>
          <w:jc w:val="center"/>
        </w:trPr>
        <w:tc>
          <w:tcPr>
            <w:tcW w:w="1134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ФО-5</w:t>
            </w:r>
          </w:p>
        </w:tc>
        <w:tc>
          <w:tcPr>
            <w:tcW w:w="4706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Пояснительная записка к финансовой отчетности</w:t>
            </w:r>
          </w:p>
        </w:tc>
        <w:tc>
          <w:tcPr>
            <w:tcW w:w="3628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Что объясняет существенные суммы и условия</w:t>
            </w:r>
          </w:p>
        </w:tc>
      </w:tr>
      <w:tr w:rsidR="0013418A">
        <w:trPr>
          <w:cantSplit/>
          <w:jc w:val="center"/>
        </w:trPr>
        <w:tc>
          <w:tcPr>
            <w:tcW w:w="1134" w:type="dxa"/>
            <w:vAlign w:val="center"/>
          </w:tcPr>
          <w:p w:rsidR="0013418A" w:rsidRDefault="00954031">
            <w:pPr>
              <w:keepNext w:val="0"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ФО-6</w:t>
            </w:r>
          </w:p>
        </w:tc>
        <w:tc>
          <w:tcPr>
            <w:tcW w:w="4706" w:type="dxa"/>
            <w:vAlign w:val="center"/>
          </w:tcPr>
          <w:p w:rsidR="0013418A" w:rsidRDefault="00954031">
            <w:pPr>
              <w:keepNext w:val="0"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Бухгалтерский</w:t>
            </w:r>
            <w:r>
              <w:rPr>
                <w:rFonts w:eastAsia="Times New Roman" w:cs="Times New Roman"/>
                <w:sz w:val="21"/>
                <w:lang w:val="ru-RU"/>
              </w:rPr>
              <w:t xml:space="preserve"> баланс при реорганизации</w:t>
            </w:r>
          </w:p>
        </w:tc>
        <w:tc>
          <w:tcPr>
            <w:tcW w:w="3628" w:type="dxa"/>
            <w:vAlign w:val="center"/>
          </w:tcPr>
          <w:p w:rsidR="0013418A" w:rsidRDefault="00954031">
            <w:pPr>
              <w:keepNext w:val="0"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Как представлено состояние при реорганизации</w:t>
            </w:r>
          </w:p>
        </w:tc>
      </w:tr>
    </w:tbl>
    <w:p w:rsidR="0013418A" w:rsidRDefault="0013418A">
      <w:pPr>
        <w:spacing w:line="20" w:lineRule="exact"/>
        <w:ind w:firstLine="0"/>
      </w:pPr>
    </w:p>
    <w:p w:rsidR="0013418A" w:rsidRDefault="00954031">
      <w:pPr>
        <w:jc w:val="both"/>
      </w:pPr>
      <w:r>
        <w:rPr>
          <w:rFonts w:eastAsia="Times New Roman" w:cs="Times New Roman"/>
          <w:lang w:val="ru-RU"/>
        </w:rPr>
        <w:t>ФО-6 относится к предусмотренной ситуации реорганизации, а не механически добавляется к любому обычному периоду. Периодичность, адресат и сроки проверяются по правилам и установленном</w:t>
      </w:r>
      <w:r>
        <w:rPr>
          <w:rFonts w:eastAsia="Times New Roman" w:cs="Times New Roman"/>
          <w:lang w:val="ru-RU"/>
        </w:rPr>
        <w:t>у администратором порядку. Одинаковая отчетная дата не означает одинаковый срок представления для любого учреждения.</w:t>
      </w:r>
    </w:p>
    <w:p>
      <w:pPr>
        <w:pStyle w:val="21"/>
        <w:keepNext/>
      </w:pPr>
      <w:r>
        <w:rPr>
          <w:rFonts w:ascii="Times New Roman" w:hAnsi="Times New Roman"/>
          <w:b/>
          <w:sz w:val="24"/>
        </w:rPr>
        <w:t>Комплект отчетности по МСФО ОС</w:t>
      </w:r>
    </w:p>
    <w:p>
      <w:pPr>
        <w:keepNext w:val="0"/>
        <w:jc w:val="both"/>
      </w:pPr>
      <w:r>
        <w:rPr>
          <w:rFonts w:eastAsia="Times New Roman" w:cs="Times New Roman"/>
          <w:lang w:val="ru-RU"/>
        </w:rPr>
        <w:t>МСФО ОС 1 предусматривает отчет о финансовом положении, отчет о финансовых результатах, отчет об изменениях чистых активов/капитала, отчет о движении денежных средств и примечания, а также сравнительную информацию. При публично доступном утвержденном бюджете добавляется сопоставление бюджета и фактических сумм по МСФО ОС 24. Международные названия и состав раскрытий сопоставляют с национальными формами; номера ФО-1–ФО-6 установлены НПА Казахстана и не являются номерами форм IPSAS. [Н9; М1, М2, М24]</w:t>
      </w:r>
    </w:p>
    <w:p>
      <w:pPr>
        <w:keepNext w:val="0"/>
        <w:jc w:val="both"/>
      </w:pPr>
      <w:r>
        <w:rPr>
          <w:rFonts w:eastAsia="Times New Roman" w:cs="Times New Roman"/>
          <w:lang w:val="ru-RU"/>
        </w:rPr>
        <w:t>Существенную информацию представляют раздельно; активы и обязательства, доходы и расходы не сворачивают без основания, допускаемого применимыми правилами. Для сравнения приводят данные предшествующего периода и объясняют существенные изменения классификации. Примечания раскрывают учетную основу, существенные профессиональные суждения и источники неопределенности оценок. [М1]</w:t>
      </w:r>
    </w:p>
    <w:p w:rsidR="0013418A" w:rsidRDefault="00954031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Баланс и классификация статей</w:t>
      </w:r>
    </w:p>
    <w:p w:rsidR="0013418A" w:rsidRDefault="00954031">
      <w:pPr>
        <w:jc w:val="both"/>
      </w:pPr>
      <w:r>
        <w:rPr>
          <w:rFonts w:eastAsia="Times New Roman" w:cs="Times New Roman"/>
          <w:lang w:val="ru-RU"/>
        </w:rPr>
        <w:t>Баланс показывает состояние на определенную дату. Активы группируют по предусмотренным видам и срокам. Осно</w:t>
      </w:r>
      <w:r>
        <w:rPr>
          <w:rFonts w:eastAsia="Times New Roman" w:cs="Times New Roman"/>
          <w:lang w:val="ru-RU"/>
        </w:rPr>
        <w:t>вные средства отражаются с учетом накопленной амортизации и других применимых корректировок. Дебиторская задолженность и выданные авансы не должны смешиваться с кредиторской задолженностью.</w:t>
      </w:r>
    </w:p>
    <w:p w:rsidR="0013418A" w:rsidRDefault="00954031">
      <w:pPr>
        <w:jc w:val="both"/>
      </w:pPr>
      <w:r>
        <w:rPr>
          <w:rFonts w:eastAsia="Times New Roman" w:cs="Times New Roman"/>
          <w:lang w:val="ru-RU"/>
        </w:rPr>
        <w:t>Обязательства отражают существующие обязанности, а чистые активы и</w:t>
      </w:r>
      <w:r>
        <w:rPr>
          <w:rFonts w:eastAsia="Times New Roman" w:cs="Times New Roman"/>
          <w:lang w:val="ru-RU"/>
        </w:rPr>
        <w:t>ли капитал — остаток между активами и обязательствами. Для государственного учреждения этот остаток не следует автоматически называть вложениями частных собственников. Его состав и движение объясняются особенностями учреждения и отчетными правилами.</w:t>
      </w:r>
    </w:p>
    <w:p w:rsidR="0013418A" w:rsidRDefault="00954031">
      <w:pPr>
        <w:jc w:val="both"/>
      </w:pPr>
      <w:r>
        <w:rPr>
          <w:rFonts w:eastAsia="Times New Roman" w:cs="Times New Roman"/>
          <w:lang w:val="ru-RU"/>
        </w:rPr>
        <w:t>Баланс</w:t>
      </w:r>
      <w:r>
        <w:rPr>
          <w:rFonts w:eastAsia="Times New Roman" w:cs="Times New Roman"/>
          <w:lang w:val="ru-RU"/>
        </w:rPr>
        <w:t>овое равенство необходимо, но недостаточно. Если оборудование ошибочно списано в расход, одновременно уменьшаются активы и финансовый результат, и баланс продолжает сходиться. Значит, проверять нужно не только равенство сторон, но и признание, оценку, полн</w:t>
      </w:r>
      <w:r>
        <w:rPr>
          <w:rFonts w:eastAsia="Times New Roman" w:cs="Times New Roman"/>
          <w:lang w:val="ru-RU"/>
        </w:rPr>
        <w:t>оту и классификацию каждой существенной статьи.</w:t>
      </w:r>
    </w:p>
    <w:p w:rsidR="0013418A" w:rsidRDefault="00954031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Финансовый результат деньги и чистые активы</w:t>
      </w:r>
    </w:p>
    <w:p w:rsidR="0013418A" w:rsidRDefault="00954031">
      <w:pPr>
        <w:jc w:val="both"/>
      </w:pPr>
      <w:r>
        <w:rPr>
          <w:rFonts w:eastAsia="Times New Roman" w:cs="Times New Roman"/>
          <w:lang w:val="ru-RU"/>
        </w:rPr>
        <w:t>Финансовый результат отражает разницу признанных доходов и расходов по соответствующей модели. Денежное движение зависит от фактических поступлений и платежей. Ам</w:t>
      </w:r>
      <w:r>
        <w:rPr>
          <w:rFonts w:eastAsia="Times New Roman" w:cs="Times New Roman"/>
          <w:lang w:val="ru-RU"/>
        </w:rPr>
        <w:t>ортизация влияет на результат без текущего платежа; аванс может менять деньги без немедленного расхода; получение ресурса с отсрочкой создает задолженность без кассового оттока.</w:t>
      </w:r>
    </w:p>
    <w:p w:rsidR="0013418A" w:rsidRDefault="00954031">
      <w:pPr>
        <w:jc w:val="both"/>
      </w:pPr>
      <w:r>
        <w:rPr>
          <w:rFonts w:eastAsia="Times New Roman" w:cs="Times New Roman"/>
          <w:lang w:val="ru-RU"/>
        </w:rPr>
        <w:t>Отчет об изменениях чистых активов связывает начальный и конечный остаток. Кро</w:t>
      </w:r>
      <w:r>
        <w:rPr>
          <w:rFonts w:eastAsia="Times New Roman" w:cs="Times New Roman"/>
          <w:lang w:val="ru-RU"/>
        </w:rPr>
        <w:t>ме результата периода возможны иные предусмотренные изменения: корректировки, передачи и операции, которые раскрываются в соответствующих категориях. Нельзя объяснять всю разницу только поступлением денег или только закупкой имущества.</w:t>
      </w:r>
    </w:p>
    <w:p w:rsidR="0013418A" w:rsidRDefault="00954031">
      <w:pPr>
        <w:jc w:val="both"/>
      </w:pPr>
      <w:r>
        <w:rPr>
          <w:rFonts w:eastAsia="Times New Roman" w:cs="Times New Roman"/>
          <w:lang w:val="ru-RU"/>
        </w:rPr>
        <w:t>Пояснительная записк</w:t>
      </w:r>
      <w:r>
        <w:rPr>
          <w:rFonts w:eastAsia="Times New Roman" w:cs="Times New Roman"/>
          <w:lang w:val="ru-RU"/>
        </w:rPr>
        <w:t>а раскрывает контекст: существенную учетную информацию, состав крупных статей, ограничения, обязательства, неопределенности и причины важных изменений. Переписывание каждой строки баланса без объяснения ее содержания не делает пояснение полезным.</w:t>
      </w:r>
    </w:p>
    <w:p w:rsidR="0013418A" w:rsidRDefault="00954031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Ск</w:t>
      </w:r>
      <w:r>
        <w:rPr>
          <w:rFonts w:ascii="Times New Roman" w:eastAsia="Times New Roman" w:hAnsi="Times New Roman" w:cs="Times New Roman"/>
          <w:lang w:val="ru-RU"/>
        </w:rPr>
        <w:t>возной пример и анализ</w:t>
      </w:r>
    </w:p>
    <w:p w:rsidR="0013418A" w:rsidRDefault="00954031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Исходные данные учебной модели</w:t>
      </w:r>
    </w:p>
    <w:p w:rsidR="0013418A" w:rsidRDefault="00954031">
      <w:pPr>
        <w:jc w:val="both"/>
      </w:pPr>
      <w:r>
        <w:rPr>
          <w:rFonts w:eastAsia="Times New Roman" w:cs="Times New Roman"/>
          <w:lang w:val="ru-RU"/>
        </w:rPr>
        <w:t>Все суммы приведены в тысячах тенге. Учреждение использует разрешенный денежный источник; условия признания доходов выполнены, операции документально подтверждены. Для сверки финансового результата и денежных потоков расчеты по текущей деятельности отделены от приобретения оборудования.</w:t>
      </w:r>
    </w:p>
    <w:p w:rsidR="0013418A" w:rsidRDefault="00954031">
      <w:pPr>
        <w:jc w:val="both"/>
      </w:pPr>
      <w:r>
        <w:rPr>
          <w:rFonts w:eastAsia="Times New Roman" w:cs="Times New Roman"/>
          <w:lang w:val="ru-RU"/>
        </w:rPr>
        <w:t>На начало года деньги составляют 300, запасы — 700, основные средства по балансовой стоимости — 9 000. Задолженность перед поставщиками текущих ресурсов и услуг — 1 000, чистые активы — 9 000. За год признаны доход 12 000 и расходы 11 000, включая амортизацию 1 000. Приобретено оборудование на 2 000; иных изменений его стоимости нет.</w:t>
      </w:r>
    </w:p>
    <w:p w:rsidR="0013418A" w:rsidRDefault="00954031">
      <w:pPr>
        <w:jc w:val="both"/>
      </w:pPr>
      <w:r>
        <w:rPr>
          <w:rFonts w:eastAsia="Times New Roman" w:cs="Times New Roman"/>
          <w:lang w:val="ru-RU"/>
        </w:rPr>
        <w:t>Поступления денег от текущей деятельности совпадают с признанным доходом 12 000. На конец года запасы — 900, задолженность поставщикам по текущим ресурсам и услугам — 1 500. Оборудование на 2 000 полностью оплачено; задолженность по его приобретению отсутствует. Дебиторской задолженности, авансов, иных обязательств, переоценки и прямых изменений капитала нет. Расходы без амортизации — 10 000.</w:t>
      </w:r>
    </w:p>
    <w:p w:rsidR="0013418A" w:rsidRDefault="00954031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Финансовый результат и баланс</w:t>
      </w:r>
    </w:p>
    <w:p w:rsidR="0013418A" w:rsidRDefault="00954031">
      <w:pPr>
        <w:jc w:val="both"/>
      </w:pPr>
      <w:r>
        <w:rPr>
          <w:rFonts w:eastAsia="Times New Roman" w:cs="Times New Roman"/>
          <w:lang w:val="ru-RU"/>
        </w:rPr>
        <w:t>Финансовый результат равен 1 000: доход 12 000 минус расходы 11 000. Увеличение запасов на 200 и з</w:t>
      </w:r>
      <w:r>
        <w:rPr>
          <w:rFonts w:eastAsia="Times New Roman" w:cs="Times New Roman"/>
          <w:lang w:val="ru-RU"/>
        </w:rPr>
        <w:t>адолженности на 500 объясняет разницу между потреблением ресурсов и оплатой. Основные средства на конец года составляют 10 000: начальные 9 000 плюс приобретение 2 000 минус амортизация 1 000.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90" w:type="dxa"/>
          <w:bottom w:w="65" w:type="dxa"/>
          <w:right w:w="90" w:type="dxa"/>
        </w:tblCellMar>
        <w:tblLook w:val="04A0" w:firstRow="1" w:lastRow="0" w:firstColumn="1" w:lastColumn="0" w:noHBand="0" w:noVBand="1"/>
      </w:tblPr>
      <w:tblGrid>
        <w:gridCol w:w="6066"/>
        <w:gridCol w:w="1701"/>
        <w:gridCol w:w="1701"/>
      </w:tblGrid>
      <w:tr w:rsidR="0013418A">
        <w:trPr>
          <w:cantSplit/>
          <w:tblHeader/>
          <w:jc w:val="center"/>
        </w:trPr>
        <w:tc>
          <w:tcPr>
            <w:tcW w:w="6066" w:type="dxa"/>
            <w:shd w:val="clear" w:color="auto" w:fill="E8EFF5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b/>
                <w:sz w:val="21"/>
                <w:lang w:val="ru-RU"/>
              </w:rPr>
              <w:t>Учебный баланс</w:t>
            </w:r>
          </w:p>
        </w:tc>
        <w:tc>
          <w:tcPr>
            <w:tcW w:w="1701" w:type="dxa"/>
            <w:shd w:val="clear" w:color="auto" w:fill="E8EFF5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b/>
                <w:sz w:val="21"/>
                <w:lang w:val="ru-RU"/>
              </w:rPr>
              <w:t>Начало года</w:t>
            </w:r>
          </w:p>
        </w:tc>
        <w:tc>
          <w:tcPr>
            <w:tcW w:w="1701" w:type="dxa"/>
            <w:shd w:val="clear" w:color="auto" w:fill="E8EFF5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b/>
                <w:sz w:val="21"/>
                <w:lang w:val="ru-RU"/>
              </w:rPr>
              <w:t>Конец года</w:t>
            </w:r>
          </w:p>
        </w:tc>
      </w:tr>
      <w:tr w:rsidR="0013418A">
        <w:trPr>
          <w:cantSplit/>
          <w:jc w:val="center"/>
        </w:trPr>
        <w:tc>
          <w:tcPr>
            <w:tcW w:w="6066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Деньги</w:t>
            </w:r>
          </w:p>
        </w:tc>
        <w:tc>
          <w:tcPr>
            <w:tcW w:w="1701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300</w:t>
            </w:r>
          </w:p>
        </w:tc>
        <w:tc>
          <w:tcPr>
            <w:tcW w:w="1701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600</w:t>
            </w:r>
          </w:p>
        </w:tc>
      </w:tr>
      <w:tr w:rsidR="0013418A">
        <w:trPr>
          <w:cantSplit/>
          <w:jc w:val="center"/>
        </w:trPr>
        <w:tc>
          <w:tcPr>
            <w:tcW w:w="6066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Запасы</w:t>
            </w:r>
          </w:p>
        </w:tc>
        <w:tc>
          <w:tcPr>
            <w:tcW w:w="1701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700</w:t>
            </w:r>
          </w:p>
        </w:tc>
        <w:tc>
          <w:tcPr>
            <w:tcW w:w="1701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900</w:t>
            </w:r>
          </w:p>
        </w:tc>
      </w:tr>
      <w:tr w:rsidR="0013418A">
        <w:trPr>
          <w:cantSplit/>
          <w:jc w:val="center"/>
        </w:trPr>
        <w:tc>
          <w:tcPr>
            <w:tcW w:w="6066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Основные средства по балансовой стоимости</w:t>
            </w:r>
          </w:p>
        </w:tc>
        <w:tc>
          <w:tcPr>
            <w:tcW w:w="1701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9 000</w:t>
            </w:r>
          </w:p>
        </w:tc>
        <w:tc>
          <w:tcPr>
            <w:tcW w:w="1701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10 000</w:t>
            </w:r>
          </w:p>
        </w:tc>
      </w:tr>
      <w:tr w:rsidR="0013418A">
        <w:trPr>
          <w:cantSplit/>
          <w:jc w:val="center"/>
        </w:trPr>
        <w:tc>
          <w:tcPr>
            <w:tcW w:w="6066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Активы всего</w:t>
            </w:r>
          </w:p>
        </w:tc>
        <w:tc>
          <w:tcPr>
            <w:tcW w:w="1701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10 000</w:t>
            </w:r>
          </w:p>
        </w:tc>
        <w:tc>
          <w:tcPr>
            <w:tcW w:w="1701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11 500</w:t>
            </w:r>
          </w:p>
        </w:tc>
      </w:tr>
      <w:tr w:rsidR="0013418A">
        <w:trPr>
          <w:cantSplit/>
          <w:jc w:val="center"/>
        </w:trPr>
        <w:tc>
          <w:tcPr>
            <w:tcW w:w="6066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Обязательства поставщикам</w:t>
            </w:r>
          </w:p>
        </w:tc>
        <w:tc>
          <w:tcPr>
            <w:tcW w:w="1701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1 000</w:t>
            </w:r>
          </w:p>
        </w:tc>
        <w:tc>
          <w:tcPr>
            <w:tcW w:w="1701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1 500</w:t>
            </w:r>
          </w:p>
        </w:tc>
      </w:tr>
      <w:tr w:rsidR="0013418A">
        <w:trPr>
          <w:cantSplit/>
          <w:jc w:val="center"/>
        </w:trPr>
        <w:tc>
          <w:tcPr>
            <w:tcW w:w="6066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Чистые активы</w:t>
            </w:r>
          </w:p>
        </w:tc>
        <w:tc>
          <w:tcPr>
            <w:tcW w:w="1701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9 000</w:t>
            </w:r>
          </w:p>
        </w:tc>
        <w:tc>
          <w:tcPr>
            <w:tcW w:w="1701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10 000</w:t>
            </w:r>
          </w:p>
        </w:tc>
      </w:tr>
      <w:tr w:rsidR="0013418A">
        <w:trPr>
          <w:cantSplit/>
          <w:jc w:val="center"/>
        </w:trPr>
        <w:tc>
          <w:tcPr>
            <w:tcW w:w="6066" w:type="dxa"/>
            <w:vAlign w:val="center"/>
          </w:tcPr>
          <w:p w:rsidR="0013418A" w:rsidRDefault="00954031">
            <w:pPr>
              <w:keepNext w:val="0"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Обязательства и чистые активы</w:t>
            </w:r>
          </w:p>
        </w:tc>
        <w:tc>
          <w:tcPr>
            <w:tcW w:w="1701" w:type="dxa"/>
            <w:vAlign w:val="center"/>
          </w:tcPr>
          <w:p w:rsidR="0013418A" w:rsidRDefault="00954031">
            <w:pPr>
              <w:keepNext w:val="0"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10 000</w:t>
            </w:r>
          </w:p>
        </w:tc>
        <w:tc>
          <w:tcPr>
            <w:tcW w:w="1701" w:type="dxa"/>
            <w:vAlign w:val="center"/>
          </w:tcPr>
          <w:p w:rsidR="0013418A" w:rsidRDefault="00954031">
            <w:pPr>
              <w:keepNext w:val="0"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11 500</w:t>
            </w:r>
          </w:p>
        </w:tc>
      </w:tr>
    </w:tbl>
    <w:p w:rsidR="0013418A" w:rsidRDefault="0013418A">
      <w:pPr>
        <w:spacing w:line="20" w:lineRule="exact"/>
        <w:ind w:firstLine="0"/>
      </w:pPr>
    </w:p>
    <w:p w:rsidR="0013418A" w:rsidRDefault="00954031">
      <w:pPr>
        <w:jc w:val="both"/>
      </w:pPr>
      <w:r>
        <w:rPr>
          <w:rFonts w:eastAsia="Times New Roman" w:cs="Times New Roman"/>
          <w:lang w:val="ru-RU"/>
        </w:rPr>
        <w:t xml:space="preserve">Изменение чистых активов полностью объясняется </w:t>
      </w:r>
      <w:r>
        <w:rPr>
          <w:rFonts w:eastAsia="Times New Roman" w:cs="Times New Roman"/>
          <w:lang w:val="ru-RU"/>
        </w:rPr>
        <w:t>результатом: 9 000 + 1 000 = 10 000. В реальном учреждении такую сверку делают с учетом всех предусмотренных изменений. Наличие других операций исключено только условиями данного учебного примера.</w:t>
      </w:r>
    </w:p>
    <w:p w:rsidR="0013418A" w:rsidRDefault="00954031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Движение денег прямым методом</w:t>
      </w:r>
    </w:p>
    <w:p w:rsidR="0013418A" w:rsidRDefault="00954031">
      <w:pPr>
        <w:jc w:val="both"/>
      </w:pPr>
      <w:r>
        <w:rPr>
          <w:rFonts w:eastAsia="Times New Roman" w:cs="Times New Roman"/>
          <w:lang w:val="ru-RU"/>
        </w:rPr>
        <w:t xml:space="preserve">Чтобы определить денежные </w:t>
      </w:r>
      <w:r>
        <w:rPr>
          <w:rFonts w:eastAsia="Times New Roman" w:cs="Times New Roman"/>
          <w:lang w:val="ru-RU"/>
        </w:rPr>
        <w:t>выплаты по текущей деятельности, к расходам без амортизации 10 000 прибавляют увеличение запасов 200 и вычитают увеличение задолженности 500. Получается 9 700. Дополнительные запасы требуют ресурса, а рост долга означает, что часть полученного ресурса пока</w:t>
      </w:r>
      <w:r>
        <w:rPr>
          <w:rFonts w:eastAsia="Times New Roman" w:cs="Times New Roman"/>
          <w:lang w:val="ru-RU"/>
        </w:rPr>
        <w:t xml:space="preserve"> не оплачена.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90" w:type="dxa"/>
          <w:bottom w:w="65" w:type="dxa"/>
          <w:right w:w="90" w:type="dxa"/>
        </w:tblCellMar>
        <w:tblLook w:val="04A0" w:firstRow="1" w:lastRow="0" w:firstColumn="1" w:lastColumn="0" w:noHBand="0" w:noVBand="1"/>
      </w:tblPr>
      <w:tblGrid>
        <w:gridCol w:w="7200"/>
        <w:gridCol w:w="2268"/>
      </w:tblGrid>
      <w:tr w:rsidR="0013418A">
        <w:trPr>
          <w:cantSplit/>
          <w:tblHeader/>
          <w:jc w:val="center"/>
        </w:trPr>
        <w:tc>
          <w:tcPr>
            <w:tcW w:w="7200" w:type="dxa"/>
            <w:shd w:val="clear" w:color="auto" w:fill="E8EFF5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b/>
                <w:sz w:val="21"/>
                <w:lang w:val="ru-RU"/>
              </w:rPr>
              <w:t>Денежное движение в учебной модели</w:t>
            </w:r>
          </w:p>
        </w:tc>
        <w:tc>
          <w:tcPr>
            <w:tcW w:w="2268" w:type="dxa"/>
            <w:shd w:val="clear" w:color="auto" w:fill="E8EFF5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b/>
                <w:sz w:val="21"/>
                <w:lang w:val="ru-RU"/>
              </w:rPr>
              <w:t>Сумма</w:t>
            </w:r>
          </w:p>
        </w:tc>
      </w:tr>
      <w:tr w:rsidR="0013418A">
        <w:trPr>
          <w:cantSplit/>
          <w:jc w:val="center"/>
        </w:trPr>
        <w:tc>
          <w:tcPr>
            <w:tcW w:w="7200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Текущие поступления</w:t>
            </w:r>
          </w:p>
        </w:tc>
        <w:tc>
          <w:tcPr>
            <w:tcW w:w="2268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12 000</w:t>
            </w:r>
          </w:p>
        </w:tc>
      </w:tr>
      <w:tr w:rsidR="0013418A">
        <w:trPr>
          <w:cantSplit/>
          <w:jc w:val="center"/>
        </w:trPr>
        <w:tc>
          <w:tcPr>
            <w:tcW w:w="7200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Текущие выплаты</w:t>
            </w:r>
          </w:p>
        </w:tc>
        <w:tc>
          <w:tcPr>
            <w:tcW w:w="2268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(9 700)</w:t>
            </w:r>
          </w:p>
        </w:tc>
      </w:tr>
      <w:tr w:rsidR="0013418A">
        <w:trPr>
          <w:cantSplit/>
          <w:jc w:val="center"/>
        </w:trPr>
        <w:tc>
          <w:tcPr>
            <w:tcW w:w="7200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Чистое движение по текущей деятельности</w:t>
            </w:r>
          </w:p>
        </w:tc>
        <w:tc>
          <w:tcPr>
            <w:tcW w:w="2268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2 300</w:t>
            </w:r>
          </w:p>
        </w:tc>
      </w:tr>
      <w:tr w:rsidR="0013418A">
        <w:trPr>
          <w:cantSplit/>
          <w:jc w:val="center"/>
        </w:trPr>
        <w:tc>
          <w:tcPr>
            <w:tcW w:w="7200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Приобретение оборудования</w:t>
            </w:r>
          </w:p>
        </w:tc>
        <w:tc>
          <w:tcPr>
            <w:tcW w:w="2268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(2 000)</w:t>
            </w:r>
          </w:p>
        </w:tc>
      </w:tr>
      <w:tr w:rsidR="0013418A">
        <w:trPr>
          <w:cantSplit/>
          <w:jc w:val="center"/>
        </w:trPr>
        <w:tc>
          <w:tcPr>
            <w:tcW w:w="7200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Чистое изменение денег</w:t>
            </w:r>
          </w:p>
        </w:tc>
        <w:tc>
          <w:tcPr>
            <w:tcW w:w="2268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300</w:t>
            </w:r>
          </w:p>
        </w:tc>
      </w:tr>
      <w:tr w:rsidR="0013418A">
        <w:trPr>
          <w:cantSplit/>
          <w:jc w:val="center"/>
        </w:trPr>
        <w:tc>
          <w:tcPr>
            <w:tcW w:w="7200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Деньги на начало года</w:t>
            </w:r>
          </w:p>
        </w:tc>
        <w:tc>
          <w:tcPr>
            <w:tcW w:w="2268" w:type="dxa"/>
            <w:vAlign w:val="center"/>
          </w:tcPr>
          <w:p w:rsidR="0013418A" w:rsidRDefault="00954031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300</w:t>
            </w:r>
          </w:p>
        </w:tc>
      </w:tr>
      <w:tr w:rsidR="0013418A">
        <w:trPr>
          <w:cantSplit/>
          <w:jc w:val="center"/>
        </w:trPr>
        <w:tc>
          <w:tcPr>
            <w:tcW w:w="7200" w:type="dxa"/>
            <w:vAlign w:val="center"/>
          </w:tcPr>
          <w:p w:rsidR="0013418A" w:rsidRDefault="00954031">
            <w:pPr>
              <w:keepNext w:val="0"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 xml:space="preserve">Деньги на </w:t>
            </w:r>
            <w:r>
              <w:rPr>
                <w:rFonts w:eastAsia="Times New Roman" w:cs="Times New Roman"/>
                <w:sz w:val="21"/>
                <w:lang w:val="ru-RU"/>
              </w:rPr>
              <w:t>конец года</w:t>
            </w:r>
          </w:p>
        </w:tc>
        <w:tc>
          <w:tcPr>
            <w:tcW w:w="2268" w:type="dxa"/>
            <w:vAlign w:val="center"/>
          </w:tcPr>
          <w:p w:rsidR="0013418A" w:rsidRDefault="00954031">
            <w:pPr>
              <w:keepNext w:val="0"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600</w:t>
            </w:r>
          </w:p>
        </w:tc>
      </w:tr>
    </w:tbl>
    <w:p w:rsidR="0013418A" w:rsidRDefault="0013418A">
      <w:pPr>
        <w:spacing w:line="20" w:lineRule="exact"/>
        <w:ind w:firstLine="0"/>
      </w:pPr>
    </w:p>
    <w:p w:rsidR="0013418A" w:rsidRDefault="00954031">
      <w:pPr>
        <w:jc w:val="both"/>
      </w:pPr>
      <w:r>
        <w:rPr>
          <w:rFonts w:eastAsia="Times New Roman" w:cs="Times New Roman"/>
          <w:lang w:val="ru-RU"/>
        </w:rPr>
        <w:t>Контроль разницы с результатом: 1 000 + амортизация 1 000 − рост запасов 200 + рост задолженности 500 = 2 300. Это объяснение взаимосвязи, а не замена предусмотренного для ФО-3 прямого метода. В отчетной форме операции распределяются по ус</w:t>
      </w:r>
      <w:r>
        <w:rPr>
          <w:rFonts w:eastAsia="Times New Roman" w:cs="Times New Roman"/>
          <w:lang w:val="ru-RU"/>
        </w:rPr>
        <w:t>тановленным строкам и источникам.</w:t>
      </w:r>
    </w:p>
    <w:p w:rsidR="0013418A" w:rsidRDefault="00954031">
      <w:pPr>
        <w:jc w:val="both"/>
      </w:pPr>
      <w:r>
        <w:rPr>
          <w:rFonts w:eastAsia="Times New Roman" w:cs="Times New Roman"/>
          <w:lang w:val="ru-RU"/>
        </w:rPr>
        <w:t xml:space="preserve">Особые показатели плановых назначений не подставляются в эту таблицу как банковские деньги. Иначе движение денег и показатели бюджетного обеспечения будут смешаны. При переходе от учебной модели к реальной форме бухгалтер </w:t>
      </w:r>
      <w:r>
        <w:rPr>
          <w:rFonts w:eastAsia="Times New Roman" w:cs="Times New Roman"/>
          <w:lang w:val="ru-RU"/>
        </w:rPr>
        <w:t>сначала определяет источник и применимую классификацию каждой операции.</w:t>
      </w:r>
    </w:p>
    <w:p>
      <w:pPr>
        <w:keepNext w:val="0"/>
        <w:jc w:val="both"/>
      </w:pPr>
      <w:r>
        <w:rPr>
          <w:rFonts w:eastAsia="Times New Roman" w:cs="Times New Roman"/>
          <w:lang w:val="ru-RU"/>
        </w:rPr>
        <w:t>МСФО ОС 2 группирует денежные потоки по операционной, инвестиционной и финансовой деятельности. Покупка оборудования за деньги относится к инвестиционной деятельности; амортизация не является денежным потоком. Получение оборудования без оплаты или безвозмездная передача не включаются как фиктивное поступление и выплата в отчет о движении денег: существенные неденежные операции раскрываются отдельно. Национальная форма ФО-3 заполняется прямым методом по установленным источникам финансирования. [Н9; М2]</w:t>
      </w:r>
    </w:p>
    <w:p w:rsidR="0013418A" w:rsidRDefault="00954031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Анализ финансового состояния</w:t>
      </w:r>
    </w:p>
    <w:p w:rsidR="0013418A" w:rsidRDefault="00954031">
      <w:pPr>
        <w:jc w:val="both"/>
      </w:pPr>
      <w:r>
        <w:rPr>
          <w:rFonts w:eastAsia="Times New Roman" w:cs="Times New Roman"/>
          <w:lang w:val="ru-RU"/>
        </w:rPr>
        <w:t>Коэффициенты полезны, если объясняют конкретную управленческую задачу. В учебном балансе текущие активы 1 500 состоят из денег 600 и запасов 900, текущие</w:t>
      </w:r>
      <w:r>
        <w:rPr>
          <w:rFonts w:eastAsia="Times New Roman" w:cs="Times New Roman"/>
          <w:lang w:val="ru-RU"/>
        </w:rPr>
        <w:t xml:space="preserve"> обязательства — 1 500. Агрегированный коэффициент покрытия равен 1,00, без запасов — 0,40. Эти значения не являются универсальными нормативами для государственных учреждений.</w:t>
      </w:r>
    </w:p>
    <w:p w:rsidR="0013418A" w:rsidRDefault="00954031">
      <w:pPr>
        <w:jc w:val="both"/>
      </w:pPr>
      <w:r>
        <w:rPr>
          <w:rFonts w:eastAsia="Times New Roman" w:cs="Times New Roman"/>
          <w:lang w:val="ru-RU"/>
        </w:rPr>
        <w:t>Для решения о платежах нужно знать назначение денег, сроки обязательств и возмож</w:t>
      </w:r>
      <w:r>
        <w:rPr>
          <w:rFonts w:eastAsia="Times New Roman" w:cs="Times New Roman"/>
          <w:lang w:val="ru-RU"/>
        </w:rPr>
        <w:t>ность их исполнения по планам. Даже наличие денежного остатка не означает свободное право использовать его на любую цель. В свою очередь, низкий денежный остаток не анализируют отдельно от казначейского механизма финансового обеспечения.</w:t>
      </w:r>
    </w:p>
    <w:p w:rsidR="0013418A" w:rsidRDefault="00954031">
      <w:pPr>
        <w:jc w:val="both"/>
      </w:pPr>
      <w:r>
        <w:rPr>
          <w:rFonts w:eastAsia="Times New Roman" w:cs="Times New Roman"/>
          <w:lang w:val="ru-RU"/>
        </w:rPr>
        <w:t>Доля основных сред</w:t>
      </w:r>
      <w:r>
        <w:rPr>
          <w:rFonts w:eastAsia="Times New Roman" w:cs="Times New Roman"/>
          <w:lang w:val="ru-RU"/>
        </w:rPr>
        <w:t>ств составляет 10 000 / 11 500 × 100 = 86,96 процента. Высокая доля может быть естественной для учреждения с оборудованием и зданиями. Она требует дополнительно оценивать состояние, загрузку и затраты на содержание. Бухгалтерская стоимость не заменяет инфо</w:t>
      </w:r>
      <w:r>
        <w:rPr>
          <w:rFonts w:eastAsia="Times New Roman" w:cs="Times New Roman"/>
          <w:lang w:val="ru-RU"/>
        </w:rPr>
        <w:t>рмацию о фактической пригодности объекта.</w:t>
      </w:r>
    </w:p>
    <w:p w:rsidR="0013418A" w:rsidRDefault="00954031">
      <w:pPr>
        <w:jc w:val="both"/>
      </w:pPr>
      <w:r>
        <w:rPr>
          <w:rFonts w:eastAsia="Times New Roman" w:cs="Times New Roman"/>
          <w:lang w:val="ru-RU"/>
        </w:rPr>
        <w:t>Задолженность выросла на 500, или на 50 процентов. Нужно выяснить, связано ли это с поздними поставками, сроком договора, задержкой финансирования или нарушением платежной дисциплины. Одно увеличение суммы не доказ</w:t>
      </w:r>
      <w:r>
        <w:rPr>
          <w:rFonts w:eastAsia="Times New Roman" w:cs="Times New Roman"/>
          <w:lang w:val="ru-RU"/>
        </w:rPr>
        <w:t>ывает просрочку. Анализ начинается с расшифровки по срокам и основаниям.</w:t>
      </w:r>
    </w:p>
    <w:p w:rsidR="0013418A" w:rsidRDefault="00954031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Анализ затрат и общественного результата</w:t>
      </w:r>
    </w:p>
    <w:p w:rsidR="0013418A" w:rsidRDefault="00954031">
      <w:pPr>
        <w:jc w:val="both"/>
      </w:pPr>
      <w:r>
        <w:rPr>
          <w:rFonts w:eastAsia="Times New Roman" w:cs="Times New Roman"/>
          <w:lang w:val="ru-RU"/>
        </w:rPr>
        <w:t xml:space="preserve">Для отдельной оценки текущей услуги задан план 12 000 тыс. тенге на 1 000 услуг, факт — 11 000 на 900. Этот план касается текущих расходов; </w:t>
      </w:r>
      <w:r>
        <w:rPr>
          <w:rFonts w:eastAsia="Times New Roman" w:cs="Times New Roman"/>
          <w:lang w:val="ru-RU"/>
        </w:rPr>
        <w:t>приобретение оборудования рассматривается отдельно. Плановая стоимость единицы 12, фактическая 12,22. Следовательно, экономия общей суммы сочетается с увеличением удельных затрат.</w:t>
      </w:r>
    </w:p>
    <w:p w:rsidR="0013418A" w:rsidRDefault="00954031">
      <w:pPr>
        <w:jc w:val="both"/>
      </w:pPr>
      <w:r>
        <w:rPr>
          <w:rFonts w:eastAsia="Times New Roman" w:cs="Times New Roman"/>
          <w:lang w:val="ru-RU"/>
        </w:rPr>
        <w:t>Оценка требует проверить сопоставимость услуги и качество. Недостижение коли</w:t>
      </w:r>
      <w:r>
        <w:rPr>
          <w:rFonts w:eastAsia="Times New Roman" w:cs="Times New Roman"/>
          <w:lang w:val="ru-RU"/>
        </w:rPr>
        <w:t>чества может быть вызвано снижением спроса, недоступностью услуги или временной остановкой оборудования. Нельзя без подтверждения назвать единственную причину. Достоверный вывод включает факт, возможное объяснение и перечень нужных данных.</w:t>
      </w:r>
    </w:p>
    <w:p w:rsidR="0013418A" w:rsidRDefault="00954031">
      <w:pPr>
        <w:jc w:val="both"/>
      </w:pPr>
      <w:r>
        <w:rPr>
          <w:rFonts w:eastAsia="Times New Roman" w:cs="Times New Roman"/>
          <w:lang w:val="ru-RU"/>
        </w:rPr>
        <w:t>Пример вывода: «</w:t>
      </w:r>
      <w:r>
        <w:rPr>
          <w:rFonts w:eastAsia="Times New Roman" w:cs="Times New Roman"/>
          <w:lang w:val="ru-RU"/>
        </w:rPr>
        <w:t>Расходы ниже плана на 1 000, однако объем услуг выполнен на 90 процентов, стоимость единицы выше примерно на 1,85 процента. Нужно проверить загрузку ресурсов и причины недостижения объема. Платежный риск уточняется по возрасту задолженности и доступным ист</w:t>
      </w:r>
      <w:r>
        <w:rPr>
          <w:rFonts w:eastAsia="Times New Roman" w:cs="Times New Roman"/>
          <w:lang w:val="ru-RU"/>
        </w:rPr>
        <w:t>очникам финансирования». Такой текст полезнее общей фразы «учреждение работает эффективно».</w:t>
      </w:r>
    </w:p>
    <w:p>
      <w:pPr>
        <w:pStyle w:val="21"/>
        <w:keepNext/>
      </w:pPr>
      <w:r>
        <w:rPr>
          <w:rFonts w:ascii="Times New Roman" w:hAnsi="Times New Roman"/>
          <w:b/>
          <w:sz w:val="24"/>
        </w:rPr>
        <w:t>Ошибки оценки и события после отчетной даты</w:t>
      </w:r>
    </w:p>
    <w:p>
      <w:pPr>
        <w:keepNext w:val="0"/>
        <w:jc w:val="both"/>
      </w:pPr>
      <w:r>
        <w:rPr>
          <w:rFonts w:eastAsia="Times New Roman" w:cs="Times New Roman"/>
          <w:lang w:val="ru-RU"/>
        </w:rPr>
        <w:t>МСФО ОС 3 разграничивает изменение учетной политики, изменение расчетной оценки и исправление ошибки. Пересмотр срока полезного использования из-за новой информации отражается перспективно в текущем и будущих периодах. Существенная ошибка прошлых периодов исправляется ретроспективно через пересчет сравнительных данных и при необходимости начальных остатков, кроме случаев практической неосуществимости. При подготовке национальных форм применяется установленный Правилами № 223 порядок исправления и раскрытия. [Н3, Н5; М3]</w:t>
      </w:r>
    </w:p>
    <w:p>
      <w:pPr>
        <w:keepNext w:val="0"/>
        <w:jc w:val="both"/>
      </w:pPr>
      <w:r>
        <w:rPr>
          <w:rFonts w:eastAsia="Times New Roman" w:cs="Times New Roman"/>
          <w:lang w:val="ru-RU"/>
        </w:rPr>
        <w:t>Если в феврале до утверждения годовой отчетности обнаружена неучтенная декабрьская коммунальная услуга, документ подтверждает условия, существовавшие на отчетную дату. По МСФО ОС 14 это корректирующее событие: уточняются декабрьские расход и задолженность. Пожар, произошедший после отчетной даты и не связанный с существовавшими на нее условиями, обычно является некорректирующим событием; при существенности раскрываются его характер и оценка финансового эффекта. [М14]</w:t>
      </w:r>
    </w:p>
    <w:p>
      <w:pPr>
        <w:keepNext w:val="0"/>
        <w:jc w:val="both"/>
      </w:pPr>
      <w:r>
        <w:rPr>
          <w:rFonts w:eastAsia="Times New Roman" w:cs="Times New Roman"/>
          <w:lang w:val="ru-RU"/>
        </w:rPr>
        <w:t>Консолидированная отчетность объединяет данные группы в пределах установленного периметра. По МСФО ОС 35 контроль предполагает полномочия в отношении другой организации, подверженность переменным выгодам или права на них и возможность использовать полномочия для воздействия на эти выгоды. Внутригрупповые остатки и операции исключаются, чтобы не завышать активы, обязательства, доходы и расходы. Годовое объединение отчетности администратора бюджетных программ с данными подведомственных субъектов квазигосударственного сектора осуществляется по Правилам № 259; отчетность отдельного государственного учреждения и отчетность группы имеют разный периметр. [Н27; М35]</w:t>
      </w:r>
    </w:p>
    <w:p w:rsidR="0013418A" w:rsidRDefault="00954031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Проверка отчетного комплекта</w:t>
      </w:r>
    </w:p>
    <w:p w:rsidR="0013418A" w:rsidRDefault="00954031">
      <w:pPr>
        <w:jc w:val="both"/>
      </w:pPr>
      <w:r>
        <w:rPr>
          <w:rFonts w:eastAsia="Times New Roman" w:cs="Times New Roman"/>
          <w:lang w:val="ru-RU"/>
        </w:rPr>
        <w:t>Перед представлением сверяют баланс, результат, движение денег и изменение чистых активов. Проверяют единицу измерения, период, иден</w:t>
      </w:r>
      <w:r>
        <w:rPr>
          <w:rFonts w:eastAsia="Times New Roman" w:cs="Times New Roman"/>
          <w:lang w:val="ru-RU"/>
        </w:rPr>
        <w:t>тификатор учреждения, сопоставимые данные и согласованность пояснений. Пересчет тенге в тысячи должен производиться последовательно, иначе одинаковая операция появится в отчетах с несогласованным масштабом.</w:t>
      </w:r>
    </w:p>
    <w:p w:rsidR="0013418A" w:rsidRDefault="00954031">
      <w:pPr>
        <w:jc w:val="both"/>
      </w:pPr>
      <w:r>
        <w:rPr>
          <w:rFonts w:eastAsia="Times New Roman" w:cs="Times New Roman"/>
          <w:lang w:val="ru-RU"/>
        </w:rPr>
        <w:t>Существенные изменения расшифровываются: рост зад</w:t>
      </w:r>
      <w:r>
        <w:rPr>
          <w:rFonts w:eastAsia="Times New Roman" w:cs="Times New Roman"/>
          <w:lang w:val="ru-RU"/>
        </w:rPr>
        <w:t>олженности, крупное приобретение, списание и неопределенность нельзя оставлять без объяснения. Итоговую версию фиксируют и отличают от рабочих файлов. После корректировки одной формы необходимо повторно проверить связанные показатели, а не только измененну</w:t>
      </w:r>
      <w:r>
        <w:rPr>
          <w:rFonts w:eastAsia="Times New Roman" w:cs="Times New Roman"/>
          <w:lang w:val="ru-RU"/>
        </w:rPr>
        <w:t>ю ячейку.</w:t>
      </w:r>
    </w:p>
    <w:p w:rsidR="0013418A" w:rsidRDefault="00954031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Частые ошибки</w:t>
      </w:r>
    </w:p>
    <w:p w:rsidR="0013418A" w:rsidRDefault="00954031">
      <w:pPr>
        <w:pStyle w:val="a0"/>
        <w:ind w:left="510" w:hanging="170"/>
        <w:jc w:val="both"/>
      </w:pPr>
      <w:r>
        <w:rPr>
          <w:rFonts w:eastAsia="Times New Roman" w:cs="Times New Roman"/>
          <w:lang w:val="ru-RU"/>
        </w:rPr>
        <w:t>Подменять финансовую отчетность процентом кассового исполнения.</w:t>
      </w:r>
    </w:p>
    <w:p w:rsidR="0013418A" w:rsidRDefault="00954031">
      <w:pPr>
        <w:pStyle w:val="a0"/>
        <w:ind w:left="510" w:hanging="170"/>
        <w:jc w:val="both"/>
      </w:pPr>
      <w:r>
        <w:rPr>
          <w:rFonts w:eastAsia="Times New Roman" w:cs="Times New Roman"/>
          <w:lang w:val="ru-RU"/>
        </w:rPr>
        <w:t>Использовать устаревшие названия и шаблоны форм без проверки.</w:t>
      </w:r>
    </w:p>
    <w:p w:rsidR="0013418A" w:rsidRDefault="00954031">
      <w:pPr>
        <w:pStyle w:val="a0"/>
        <w:ind w:left="510" w:hanging="170"/>
        <w:jc w:val="both"/>
      </w:pPr>
      <w:r>
        <w:rPr>
          <w:rFonts w:eastAsia="Times New Roman" w:cs="Times New Roman"/>
          <w:lang w:val="ru-RU"/>
        </w:rPr>
        <w:t>Включать всю покупку оборудования в расходы одновременно с амортизацией.</w:t>
      </w:r>
    </w:p>
    <w:p w:rsidR="0013418A" w:rsidRDefault="00954031">
      <w:pPr>
        <w:pStyle w:val="a0"/>
        <w:ind w:left="510" w:hanging="170"/>
        <w:jc w:val="both"/>
      </w:pPr>
      <w:r>
        <w:rPr>
          <w:rFonts w:eastAsia="Times New Roman" w:cs="Times New Roman"/>
          <w:lang w:val="ru-RU"/>
        </w:rPr>
        <w:t>Считать коэффициент покрытия гара</w:t>
      </w:r>
      <w:r>
        <w:rPr>
          <w:rFonts w:eastAsia="Times New Roman" w:cs="Times New Roman"/>
          <w:lang w:val="ru-RU"/>
        </w:rPr>
        <w:t>нтией доступности денег для любого платежа.</w:t>
      </w:r>
    </w:p>
    <w:p w:rsidR="0013418A" w:rsidRDefault="00954031">
      <w:pPr>
        <w:pStyle w:val="a0"/>
        <w:ind w:left="510" w:hanging="170"/>
        <w:jc w:val="both"/>
      </w:pPr>
      <w:r>
        <w:rPr>
          <w:rFonts w:eastAsia="Times New Roman" w:cs="Times New Roman"/>
          <w:lang w:val="ru-RU"/>
        </w:rPr>
        <w:t>Делать вывод об эффективности только по снижению расходов.</w:t>
      </w:r>
    </w:p>
    <w:p w:rsidR="0013418A" w:rsidRDefault="00954031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Вопросы для обсуждения</w:t>
      </w:r>
    </w:p>
    <w:p w:rsidR="0013418A" w:rsidRDefault="00954031">
      <w:pPr>
        <w:jc w:val="both"/>
      </w:pPr>
      <w:r>
        <w:rPr>
          <w:rFonts w:eastAsia="Times New Roman" w:cs="Times New Roman"/>
          <w:lang w:val="ru-RU"/>
        </w:rPr>
        <w:t>1. Какие вопросы различают ФО-1 ФО-2 ФО-3 и ФО-4?</w:t>
      </w:r>
    </w:p>
    <w:p w:rsidR="0013418A" w:rsidRDefault="00954031">
      <w:pPr>
        <w:jc w:val="both"/>
      </w:pPr>
      <w:r>
        <w:rPr>
          <w:rFonts w:eastAsia="Times New Roman" w:cs="Times New Roman"/>
          <w:lang w:val="ru-RU"/>
        </w:rPr>
        <w:t>2. Почему рост долга может сопровождать положительный финансовый результат?</w:t>
      </w:r>
    </w:p>
    <w:p w:rsidR="0013418A" w:rsidRDefault="00954031">
      <w:pPr>
        <w:jc w:val="both"/>
      </w:pPr>
      <w:r>
        <w:rPr>
          <w:rFonts w:eastAsia="Times New Roman" w:cs="Times New Roman"/>
          <w:lang w:val="ru-RU"/>
        </w:rPr>
        <w:t>3. К</w:t>
      </w:r>
      <w:r>
        <w:rPr>
          <w:rFonts w:eastAsia="Times New Roman" w:cs="Times New Roman"/>
          <w:lang w:val="ru-RU"/>
        </w:rPr>
        <w:t>ак амортизация влияет на разницу между результатом и деньгами?</w:t>
      </w:r>
    </w:p>
    <w:p w:rsidR="0013418A" w:rsidRDefault="00954031">
      <w:pPr>
        <w:jc w:val="both"/>
      </w:pPr>
      <w:r>
        <w:rPr>
          <w:rFonts w:eastAsia="Times New Roman" w:cs="Times New Roman"/>
          <w:lang w:val="ru-RU"/>
        </w:rPr>
        <w:t>4. Почему баланс может сходиться при неправильном признании актива?</w:t>
      </w:r>
    </w:p>
    <w:p w:rsidR="0013418A" w:rsidRDefault="00954031">
      <w:pPr>
        <w:jc w:val="both"/>
      </w:pPr>
      <w:r>
        <w:rPr>
          <w:rFonts w:eastAsia="Times New Roman" w:cs="Times New Roman"/>
          <w:lang w:val="ru-RU"/>
        </w:rPr>
        <w:t>5. Какие сведения о задолженности нужны сверх ее общей суммы?</w:t>
      </w:r>
    </w:p>
    <w:p w:rsidR="0013418A" w:rsidRDefault="00954031">
      <w:pPr>
        <w:jc w:val="both"/>
      </w:pPr>
      <w:r>
        <w:rPr>
          <w:rFonts w:eastAsia="Times New Roman" w:cs="Times New Roman"/>
          <w:lang w:val="ru-RU"/>
        </w:rPr>
        <w:t>6. Какие показатели качества следует добавить к стоимости услуг</w:t>
      </w:r>
      <w:r>
        <w:rPr>
          <w:rFonts w:eastAsia="Times New Roman" w:cs="Times New Roman"/>
          <w:lang w:val="ru-RU"/>
        </w:rPr>
        <w:t>и?</w:t>
      </w:r>
    </w:p>
    <w:p w:rsidR="0013418A" w:rsidRDefault="00954031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Самопроверка</w:t>
      </w:r>
    </w:p>
    <w:p w:rsidR="0013418A" w:rsidRDefault="00954031">
      <w:pPr>
        <w:jc w:val="both"/>
      </w:pPr>
      <w:r>
        <w:rPr>
          <w:rFonts w:eastAsia="Times New Roman" w:cs="Times New Roman"/>
          <w:lang w:val="ru-RU"/>
        </w:rPr>
        <w:t>По учебной модели результат периода — 400 тыс. тенге, амортизация — 250, запасы увеличились на 80, задолженность поставщикам уменьшилась на 40. Иных различий нет. Определите чистое денежное движение текущей деятельности.</w:t>
      </w:r>
    </w:p>
    <w:p w:rsidR="0013418A" w:rsidRDefault="00954031">
      <w:pPr>
        <w:jc w:val="both"/>
      </w:pPr>
      <w:r>
        <w:rPr>
          <w:rFonts w:eastAsia="Times New Roman" w:cs="Times New Roman"/>
          <w:b/>
          <w:lang w:val="ru-RU"/>
        </w:rPr>
        <w:t>Ответ.</w:t>
      </w:r>
      <w:r>
        <w:rPr>
          <w:rFonts w:eastAsia="Times New Roman" w:cs="Times New Roman"/>
          <w:lang w:val="ru-RU"/>
        </w:rPr>
        <w:t xml:space="preserve"> 400 + 250 − </w:t>
      </w:r>
      <w:r>
        <w:rPr>
          <w:rFonts w:eastAsia="Times New Roman" w:cs="Times New Roman"/>
          <w:lang w:val="ru-RU"/>
        </w:rPr>
        <w:t>80 − 40 = 530. Рост запасов и погашение старой задолженности уменьшают текущий денежный остаток относительно результата. Для реального отчета затем подтверждаются прямые поступления и выплаты.</w:t>
      </w:r>
    </w:p>
    <w:p w:rsidR="0013418A" w:rsidRDefault="00954031">
      <w:pPr>
        <w:pStyle w:val="1"/>
        <w:keepNext/>
        <w:pageBreakBefore/>
      </w:pPr>
      <w:r>
        <w:rPr>
          <w:rFonts w:ascii="Times New Roman" w:eastAsia="Times New Roman" w:hAnsi="Times New Roman" w:cs="Times New Roman"/>
          <w:lang w:val="ru-RU"/>
        </w:rPr>
        <w:t>Литература и нормативные источники</w:t>
      </w:r>
    </w:p>
    <w:p>
      <w:pPr>
        <w:spacing w:after="40"/>
      </w:pPr>
      <w:r>
        <w:t>НПА приведены в редакциях, действующих на 27 октября 2026 года. МСФО ОС — по материалам IPSASB; даты начала применения отдельных стандартов указаны в тексте.</w:t>
      </w:r>
    </w:p>
    <w:p>
      <w:pPr>
        <w:spacing w:after="40"/>
      </w:pPr>
      <w:r>
        <w:t xml:space="preserve">[Н1] </w:t>
      </w:r>
      <w:hyperlink r:id="rId15">
        <w:r>
          <w:rPr>
            <w:rFonts w:ascii="Times New Roman" w:hAnsi="Times New Roman"/>
            <w:sz w:val="24"/>
          </w:rPr>
          <w:t>Бюджетный кодекс Республики Казахстан от 15 марта 2025 года № 171-VIII, статьи 130–132.</w:t>
        </w:r>
      </w:hyperlink>
    </w:p>
    <w:p>
      <w:pPr>
        <w:spacing w:after="40"/>
      </w:pPr>
      <w:r>
        <w:t xml:space="preserve">[Н3] </w:t>
      </w:r>
      <w:hyperlink r:id="rId8">
        <w:r>
          <w:rPr>
            <w:rFonts w:ascii="Times New Roman" w:hAnsi="Times New Roman"/>
            <w:sz w:val="24"/>
          </w:rPr>
          <w:t>Приказ Министра финансов РК от 12 мая 2025 года № 223 «Об утверждении Правил ведения бухгалтерского учета в государственных учреждениях».</w:t>
        </w:r>
      </w:hyperlink>
    </w:p>
    <w:p>
      <w:pPr>
        <w:spacing w:after="40"/>
      </w:pPr>
      <w:r>
        <w:t xml:space="preserve">[Н5] </w:t>
      </w:r>
      <w:hyperlink r:id="rId9">
        <w:r>
          <w:rPr>
            <w:rFonts w:ascii="Times New Roman" w:hAnsi="Times New Roman"/>
            <w:sz w:val="24"/>
          </w:rPr>
          <w:t>Приказ Министра финансов РК от 24 апреля 2025 года № 191 «Об утверждении Учетной политики».</w:t>
        </w:r>
      </w:hyperlink>
    </w:p>
    <w:p>
      <w:pPr>
        <w:spacing w:after="40"/>
      </w:pPr>
      <w:r>
        <w:t xml:space="preserve">[Н8] </w:t>
      </w:r>
      <w:hyperlink r:id="rId10">
        <w:r>
          <w:rPr>
            <w:rFonts w:ascii="Times New Roman" w:hAnsi="Times New Roman"/>
            <w:sz w:val="24"/>
          </w:rPr>
          <w:t>Приказ Министра финансов РК от 16 апреля 2025 года № 169 «Об утверждении Правил проведения инвентаризации в государственных учреждениях».</w:t>
        </w:r>
      </w:hyperlink>
    </w:p>
    <w:p>
      <w:pPr>
        <w:spacing w:after="40"/>
      </w:pPr>
      <w:r>
        <w:t xml:space="preserve">[Н9] </w:t>
      </w:r>
      <w:hyperlink r:id="rId11">
        <w:r>
          <w:rPr>
            <w:rFonts w:ascii="Times New Roman" w:hAnsi="Times New Roman"/>
            <w:sz w:val="24"/>
          </w:rPr>
          <w:t>Приказ и.о. Министра финансов РК от 15 мая 2025 года № 230 «Об утверждении форм, периодичности и правил составления и представления финансовой отчетности».</w:t>
        </w:r>
      </w:hyperlink>
    </w:p>
    <w:p>
      <w:pPr>
        <w:spacing w:after="40"/>
      </w:pPr>
      <w:r>
        <w:t xml:space="preserve">[Н27] </w:t>
      </w:r>
      <w:hyperlink r:id="rId16">
        <w:r>
          <w:rPr>
            <w:rFonts w:ascii="Times New Roman" w:hAnsi="Times New Roman"/>
            <w:sz w:val="24"/>
          </w:rPr>
          <w:t>Приказ Министра финансов РК от 28 мая 2025 года № 259 «Об утверждении Правил составления годовой консолидированной финансовой отчетности администраторами бюджетных программ с данными финансовой отчетности подведомственных субъектов квазигосударственного сектора».</w:t>
        </w:r>
      </w:hyperlink>
    </w:p>
    <w:p>
      <w:pPr>
        <w:spacing w:after="40"/>
      </w:pPr>
      <w:r>
        <w:t xml:space="preserve">[М1] </w:t>
      </w:r>
      <w:hyperlink r:id="rId17">
        <w:r>
          <w:rPr>
            <w:rFonts w:ascii="Times New Roman" w:hAnsi="Times New Roman"/>
            <w:sz w:val="24"/>
          </w:rPr>
          <w:t>МСФО ОС (IPSAS) 1 «Представление финансовой отчетности». IPSASB, редакция сборника 2026 года.</w:t>
        </w:r>
      </w:hyperlink>
    </w:p>
    <w:p>
      <w:pPr>
        <w:spacing w:after="40"/>
      </w:pPr>
      <w:r>
        <w:t xml:space="preserve">[М2] </w:t>
      </w:r>
      <w:hyperlink r:id="rId17">
        <w:r>
          <w:rPr>
            <w:rFonts w:ascii="Times New Roman" w:hAnsi="Times New Roman"/>
            <w:sz w:val="24"/>
          </w:rPr>
          <w:t>МСФО ОС (IPSAS) 2 «Отчеты о движении денежных средств». IPSASB, редакция сборника 2026 года.</w:t>
        </w:r>
      </w:hyperlink>
    </w:p>
    <w:p>
      <w:pPr>
        <w:spacing w:after="40"/>
      </w:pPr>
      <w:r>
        <w:t xml:space="preserve">[М3] </w:t>
      </w:r>
      <w:hyperlink r:id="rId17">
        <w:r>
          <w:rPr>
            <w:rFonts w:ascii="Times New Roman" w:hAnsi="Times New Roman"/>
            <w:sz w:val="24"/>
          </w:rPr>
          <w:t>МСФО ОС (IPSAS) 3 «Учетная политика, изменения оценочных значений и ошибки». IPSASB, редакция сборника 2026 года.</w:t>
        </w:r>
      </w:hyperlink>
    </w:p>
    <w:p>
      <w:pPr>
        <w:spacing w:after="40"/>
      </w:pPr>
      <w:r>
        <w:t xml:space="preserve">[М14] </w:t>
      </w:r>
      <w:hyperlink r:id="rId17">
        <w:r>
          <w:rPr>
            <w:rFonts w:ascii="Times New Roman" w:hAnsi="Times New Roman"/>
            <w:sz w:val="24"/>
          </w:rPr>
          <w:t>МСФО ОС (IPSAS) 14 «События после отчетной даты». IPSASB, редакция сборника 2026 года.</w:t>
        </w:r>
      </w:hyperlink>
    </w:p>
    <w:p>
      <w:pPr>
        <w:spacing w:after="40"/>
      </w:pPr>
      <w:r>
        <w:t xml:space="preserve">[М24] </w:t>
      </w:r>
      <w:hyperlink r:id="rId17">
        <w:r>
          <w:rPr>
            <w:rFonts w:ascii="Times New Roman" w:hAnsi="Times New Roman"/>
            <w:sz w:val="24"/>
          </w:rPr>
          <w:t>МСФО ОС (IPSAS) 24 «Представление бюджетной информации в финансовой отчетности». IPSASB, редакция сборника 2026 года.</w:t>
        </w:r>
      </w:hyperlink>
    </w:p>
    <w:p>
      <w:pPr>
        <w:spacing w:after="40"/>
      </w:pPr>
      <w:r>
        <w:t xml:space="preserve">[М35] </w:t>
      </w:r>
      <w:hyperlink r:id="rId17">
        <w:r>
          <w:rPr>
            <w:rFonts w:ascii="Times New Roman" w:hAnsi="Times New Roman"/>
            <w:sz w:val="24"/>
          </w:rPr>
          <w:t>МСФО ОС (IPSAS) 35 «Консолидированная финансовая отчетность». IPSASB, редакция сборника 2026 года.</w:t>
        </w:r>
      </w:hyperlink>
    </w:p>
    <w:p>
      <w:pPr>
        <w:spacing w:after="40"/>
      </w:pPr>
      <w:r>
        <w:t>Учебная литература: [Л1] и [Л5] в программе курса.</w:t>
      </w:r>
    </w:p>
    <w:sectPr w:rsidR="0013418A" w:rsidSect="00034616">
      <w:footerReference w:type="default" r:id="rId12"/>
      <w:pgSz w:w="11906" w:h="16838"/>
      <w:pgMar w:top="1134" w:right="1134" w:bottom="1134" w:left="130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4031" w:rsidRDefault="00954031">
      <w:pPr>
        <w:spacing w:after="0" w:line="240" w:lineRule="auto"/>
      </w:pPr>
      <w:r>
        <w:separator/>
      </w:r>
    </w:p>
  </w:endnote>
  <w:endnote w:type="continuationSeparator" w:id="0">
    <w:p w:rsidR="00954031" w:rsidRDefault="00954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18A" w:rsidRDefault="00954031">
    <w:pPr>
      <w:pStyle w:val="a7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4031" w:rsidRDefault="00954031">
      <w:pPr>
        <w:spacing w:after="0" w:line="240" w:lineRule="auto"/>
      </w:pPr>
      <w:r>
        <w:separator/>
      </w:r>
    </w:p>
  </w:footnote>
  <w:footnote w:type="continuationSeparator" w:id="0">
    <w:p w:rsidR="00954031" w:rsidRDefault="009540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3418A"/>
    <w:rsid w:val="0015074B"/>
    <w:rsid w:val="0029639D"/>
    <w:rsid w:val="00326F90"/>
    <w:rsid w:val="004A7947"/>
    <w:rsid w:val="00714AB0"/>
    <w:rsid w:val="00954031"/>
    <w:rsid w:val="009862B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884F6F87-9095-4507-9019-96E078617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 w:line="264" w:lineRule="auto"/>
      <w:ind w:firstLine="709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b/>
      <w:spacing w:val="5"/>
      <w:kern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adilet.zan.kz/rus/docs/G25E000022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dilet.zan.kz/rus/docs/G25E000023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adilet.zan.kz/rus/docs/G25E000016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dilet.zan.kz/rus/docs/G25E0000191" TargetMode="External"/><Relationship Id="rId14" Type="http://schemas.openxmlformats.org/officeDocument/2006/relationships/theme" Target="theme/theme1.xml"/><Relationship Id="rId15" Type="http://schemas.openxmlformats.org/officeDocument/2006/relationships/hyperlink" Target="https://adilet.zan.kz/rus/docs/K2500000171" TargetMode="External"/><Relationship Id="rId16" Type="http://schemas.openxmlformats.org/officeDocument/2006/relationships/hyperlink" Target="https://adilet.zan.kz/rus/docs/G25E0000259" TargetMode="External"/><Relationship Id="rId17" Type="http://schemas.openxmlformats.org/officeDocument/2006/relationships/hyperlink" Target="https://www.ipsasb.org/publications/2026-handbook-international-public-sector-accounting-standards-board-pronounceme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4CCCE75-886E-423C-98FE-31A0D89F8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1989</Words>
  <Characters>11341</Characters>
  <Application>Microsoft Office Word</Application>
  <DocSecurity>0</DocSecurity>
  <Lines>94</Lines>
  <Paragraphs>26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16</vt:i4>
      </vt:variant>
      <vt:variant>
        <vt:lpstr>Title</vt:lpstr>
      </vt:variant>
      <vt:variant>
        <vt:i4>1</vt:i4>
      </vt:variant>
    </vt:vector>
  </HeadingPairs>
  <TitlesOfParts>
    <vt:vector size="18" baseType="lpstr">
      <vt:lpstr>Подготовка и анализ финансовой отчетности бюджетных организаций</vt:lpstr>
      <vt:lpstr>Формирование финансовой отчетности</vt:lpstr>
      <vt:lpstr>Подготовка данных и закрытие периода</vt:lpstr>
      <vt:lpstr>Состав отчетности государственных учреждений</vt:lpstr>
      <vt:lpstr>Баланс и классификация статей</vt:lpstr>
      <vt:lpstr>Финансовый результат деньги и чистые активы</vt:lpstr>
      <vt:lpstr>Сквозной пример и анализ</vt:lpstr>
      <vt:lpstr>Исходные данные учебной модели</vt:lpstr>
      <vt:lpstr>Финансовый результат и баланс</vt:lpstr>
      <vt:lpstr>Движение денег прямым методом</vt:lpstr>
      <vt:lpstr>Анализ финансового состояния</vt:lpstr>
      <vt:lpstr>Анализ-затрат и общественного результата</vt:lpstr>
      <vt:lpstr>10 Проверка отчетного комплекта</vt:lpstr>
      <vt:lpstr>Частые ошибки</vt:lpstr>
      <vt:lpstr>Вопросы для обсуждения</vt:lpstr>
      <vt:lpstr>Самопроверка</vt:lpstr>
      <vt:lpstr>Литература и нормативные источники</vt:lpstr>
      <vt:lpstr/>
    </vt:vector>
  </TitlesOfParts>
  <Manager/>
  <Company/>
  <LinksUpToDate>false</LinksUpToDate>
  <CharactersWithSpaces>13304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и анализ финансовой отчетности бюджетных организаций</dc:title>
  <dc:subject>Бухгалтерский учет в бюджетных организациях</dc:subject>
  <dc:creator/>
  <cp:keywords>Казахстан; государственные учреждения; учет; лекции; 2026</cp:keywords>
  <dc:description>generated by python-docx</dc:description>
  <cp:lastModifiedBy>Гульжан Байтикенова</cp:lastModifiedBy>
  <cp:revision>3</cp:revision>
  <dcterms:created xsi:type="dcterms:W3CDTF">2013-12-23T23:15:00Z</dcterms:created>
  <dcterms:modified xsi:type="dcterms:W3CDTF">2026-10-21T11:36:00Z</dcterms:modified>
  <cp:category/>
</cp:coreProperties>
</file>