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D28" w:rsidRDefault="00E00FE6">
      <w:pPr>
        <w:keepNext/>
        <w:jc w:val="both"/>
      </w:pPr>
      <w:r>
        <w:rPr>
          <w:rFonts w:eastAsia="Times New Roman" w:cs="Times New Roman"/>
          <w:b/>
          <w:lang w:val="ru-RU"/>
        </w:rPr>
        <w:t>ЛЕКЦИЯ 7</w:t>
      </w:r>
    </w:p>
    <w:p w:rsidR="007D3D28" w:rsidRDefault="00E00FE6">
      <w:pPr>
        <w:pStyle w:val="aa"/>
        <w:keepNext/>
        <w:spacing w:after="160"/>
      </w:pPr>
      <w:r>
        <w:rPr>
          <w:rFonts w:ascii="Times New Roman" w:eastAsia="Times New Roman" w:hAnsi="Times New Roman" w:cs="Times New Roman"/>
          <w:lang w:val="ru-RU"/>
        </w:rPr>
        <w:t>Государственные закупки учет и контроль</w:t>
      </w:r>
    </w:p>
    <w:p>
      <w:pPr>
        <w:keepNext w:val="0"/>
        <w:jc w:val="both"/>
      </w:pPr>
      <w:r>
        <w:rPr>
          <w:rFonts w:eastAsia="Times New Roman" w:cs="Times New Roman"/>
          <w:lang w:val="ru-RU"/>
        </w:rPr>
        <w:t>Цель лекции. Связать процедуры государственной закупки с признанием активов, расходов, авансов и задолженности и освоить контроль исполнения договора.</w:t>
      </w:r>
    </w:p>
    <w:p>
      <w:pPr>
        <w:keepNext w:val="0"/>
        <w:jc w:val="both"/>
      </w:pPr>
      <w:r>
        <w:rPr>
          <w:rFonts w:eastAsia="Times New Roman" w:cs="Times New Roman"/>
          <w:lang w:val="ru-RU"/>
        </w:rPr>
        <w:t>План лекции. Планирование и способы закупок; договор и приемка; учет поставки и аванса; обеспечение и контроль оплаты.</w:t>
      </w:r>
    </w:p>
    <w:p w:rsidR="007D3D28" w:rsidRDefault="00E00FE6">
      <w:pPr>
        <w:pStyle w:val="1"/>
        <w:keepNext/>
      </w:pPr>
      <w:r>
        <w:rPr>
          <w:rFonts w:ascii="Times New Roman" w:eastAsia="Times New Roman" w:hAnsi="Times New Roman" w:cs="Times New Roman"/>
          <w:lang w:val="ru-RU"/>
        </w:rPr>
        <w:t>Закупка от потребности до договора</w:t>
      </w:r>
    </w:p>
    <w:p w:rsidR="007D3D28" w:rsidRDefault="00E00FE6">
      <w:pPr>
        <w:jc w:val="both"/>
      </w:pPr>
      <w:r>
        <w:rPr>
          <w:rFonts w:eastAsia="Times New Roman" w:cs="Times New Roman"/>
          <w:lang w:val="ru-RU"/>
        </w:rPr>
        <w:t>Государственная закупка объединяет правовую процедуру выбора поставщика и последующее получение ресурса. Бухгалтер участвует в проверке финансовых условий, учете принятых товаров, работ и услуг, аванс</w:t>
      </w:r>
      <w:r>
        <w:rPr>
          <w:rFonts w:eastAsia="Times New Roman" w:cs="Times New Roman"/>
          <w:lang w:val="ru-RU"/>
        </w:rPr>
        <w:t>ов и расчетов. Правильный конкурс не заменяет фактическую приемку, а правильная бухгалтерская запись не устраняет нарушение процедуры закупки.</w:t>
      </w:r>
    </w:p>
    <w:p w:rsidR="007D3D28" w:rsidRDefault="00E00FE6">
      <w:pPr>
        <w:jc w:val="both"/>
      </w:pPr>
      <w:r>
        <w:rPr>
          <w:rFonts w:eastAsia="Times New Roman" w:cs="Times New Roman"/>
          <w:lang w:val="ru-RU"/>
        </w:rPr>
        <w:t>Для анализа закупки удобно проследить одну цепочку: потребность учреждения, план, способ закупки, договор, постав</w:t>
      </w:r>
      <w:r>
        <w:rPr>
          <w:rFonts w:eastAsia="Times New Roman" w:cs="Times New Roman"/>
          <w:lang w:val="ru-RU"/>
        </w:rPr>
        <w:t>ка, приемка, учет и платеж. Переход между стадиями подтверждается соответствующими документами. Если в цепочке отсутствует звено, дальнейшая обработка суммы может создавать видимость завершенной операции без реального результата.</w:t>
      </w:r>
    </w:p>
    <w:p w:rsidR="007D3D28" w:rsidRDefault="00E00FE6">
      <w:pPr>
        <w:pStyle w:val="1"/>
        <w:keepNext/>
      </w:pPr>
      <w:bookmarkStart w:id="0" w:name="_GoBack"/>
      <w:bookmarkEnd w:id="0"/>
      <w:r>
        <w:rPr>
          <w:rFonts w:ascii="Times New Roman" w:eastAsia="Times New Roman" w:hAnsi="Times New Roman" w:cs="Times New Roman"/>
          <w:lang w:val="ru-RU"/>
        </w:rPr>
        <w:t>Потребность и п</w:t>
      </w:r>
      <w:r>
        <w:rPr>
          <w:rFonts w:ascii="Times New Roman" w:eastAsia="Times New Roman" w:hAnsi="Times New Roman" w:cs="Times New Roman"/>
          <w:lang w:val="ru-RU"/>
        </w:rPr>
        <w:t>ланирование закупки</w:t>
      </w:r>
    </w:p>
    <w:p w:rsidR="007D3D28" w:rsidRDefault="00E00FE6">
      <w:pPr>
        <w:jc w:val="both"/>
      </w:pPr>
      <w:r>
        <w:rPr>
          <w:rFonts w:eastAsia="Times New Roman" w:cs="Times New Roman"/>
          <w:lang w:val="ru-RU"/>
        </w:rPr>
        <w:t>План закупки должен исходить из обоснованной потребности. Для оборудования устанавливают назначение, требуемые функции, количество и условия использования. Для материалов — норму потребления, остатки, срок годности и график выдачи. Скоп</w:t>
      </w:r>
      <w:r>
        <w:rPr>
          <w:rFonts w:eastAsia="Times New Roman" w:cs="Times New Roman"/>
          <w:lang w:val="ru-RU"/>
        </w:rPr>
        <w:t>ированная прошлогодняя заявка может содержать уже неактуальный объем.</w:t>
      </w:r>
    </w:p>
    <w:p w:rsidR="007D3D28" w:rsidRDefault="00E00FE6">
      <w:pPr>
        <w:jc w:val="both"/>
      </w:pPr>
      <w:r>
        <w:rPr>
          <w:rFonts w:eastAsia="Times New Roman" w:cs="Times New Roman"/>
          <w:lang w:val="ru-RU"/>
        </w:rPr>
        <w:t xml:space="preserve">Проверка остатков является частью финансового обоснования. Если на складе имеется годовой запас, новая закупка требует объяснения: изменение программы, резерв, несовместимость имеющихся </w:t>
      </w:r>
      <w:r>
        <w:rPr>
          <w:rFonts w:eastAsia="Times New Roman" w:cs="Times New Roman"/>
          <w:lang w:val="ru-RU"/>
        </w:rPr>
        <w:t>материалов или другая подтвержденная причина. Без такого объяснения низкая цена новой партии не доказывает разумность расходования.</w:t>
      </w:r>
    </w:p>
    <w:p w:rsidR="007D3D28" w:rsidRDefault="00E00FE6">
      <w:pPr>
        <w:jc w:val="both"/>
      </w:pPr>
      <w:r>
        <w:rPr>
          <w:rFonts w:eastAsia="Times New Roman" w:cs="Times New Roman"/>
          <w:lang w:val="ru-RU"/>
        </w:rPr>
        <w:t>Технические характеристики должны описывать необходимый результат. Необоснованное сужение характеристик повышает риск ограни</w:t>
      </w:r>
      <w:r>
        <w:rPr>
          <w:rFonts w:eastAsia="Times New Roman" w:cs="Times New Roman"/>
          <w:lang w:val="ru-RU"/>
        </w:rPr>
        <w:t>чения конкуренции. С другой стороны, чрезмерно общая спецификация затрудняет приемку: комиссия не сможет проверить качество, если договор не содержит измеримых требований.</w:t>
      </w:r>
    </w:p>
    <w:p w:rsidR="007D3D28" w:rsidRDefault="00E00FE6">
      <w:pPr>
        <w:jc w:val="both"/>
      </w:pPr>
      <w:r>
        <w:rPr>
          <w:rFonts w:eastAsia="Times New Roman" w:cs="Times New Roman"/>
          <w:lang w:val="ru-RU"/>
        </w:rPr>
        <w:t>Для финансового подразделения важны соответствие плана закупки бюджету, условия опла</w:t>
      </w:r>
      <w:r>
        <w:rPr>
          <w:rFonts w:eastAsia="Times New Roman" w:cs="Times New Roman"/>
          <w:lang w:val="ru-RU"/>
        </w:rPr>
        <w:t>ты и будущие обязательства. Договор с большой авансовой частью требует оценки риска исполнения и соответствующего контроля. Договор с оплатой после приемки снижает один риск, но не исключает фиктивный акт или ошибочную классификацию актива.</w:t>
      </w:r>
    </w:p>
    <w:p>
      <w:pPr>
        <w:keepNext w:val="0"/>
        <w:jc w:val="both"/>
      </w:pPr>
      <w:r>
        <w:rPr>
          <w:rFonts w:eastAsia="Times New Roman" w:cs="Times New Roman"/>
          <w:lang w:val="ru-RU"/>
        </w:rPr>
        <w:t>Правовую основу составляют Закон о государственных закупках № 106-VIII и Правила № 687. Закон предусматривает конкурс, аукцион, запрос ценовых предложений, закупку из одного источника и через электронный магазин. Способ выбирают по установленным основаниям и условиям; наличие финансирования не дает права произвольно выбирать исключение из конкурентной процедуры. При изменении договора проверяют допустимость основания и предусмотренный порядок оформления. [Н10, Н11]</w:t>
      </w:r>
    </w:p>
    <w:p>
      <w:pPr>
        <w:keepNext w:val="0"/>
        <w:jc w:val="both"/>
      </w:pPr>
      <w:r>
        <w:rPr>
          <w:rFonts w:eastAsia="Times New Roman" w:cs="Times New Roman"/>
          <w:lang w:val="ru-RU"/>
        </w:rPr>
        <w:t>Годовой план закупок увязывают с утвержденным бюджетом и индивидуальными планами финансирования. Закупочное планирование, принятие договорного обязательства и регистрация в казначействе выполняют самостоятельные функции. Зарегистрированный договор подтверждает предусмотренную стадию исполнения бюджета, но не факт поставки товара и не готовность объекта к использованию. [Н6, Н10, Н11]</w:t>
      </w:r>
    </w:p>
    <w:p w:rsidR="007D3D28" w:rsidRDefault="00E00FE6">
      <w:pPr>
        <w:pStyle w:val="1"/>
        <w:keepNext/>
      </w:pPr>
      <w:r>
        <w:rPr>
          <w:rFonts w:ascii="Times New Roman" w:eastAsia="Times New Roman" w:hAnsi="Times New Roman" w:cs="Times New Roman"/>
          <w:lang w:val="ru-RU"/>
        </w:rPr>
        <w:t>Содержание до</w:t>
      </w:r>
      <w:r>
        <w:rPr>
          <w:rFonts w:ascii="Times New Roman" w:eastAsia="Times New Roman" w:hAnsi="Times New Roman" w:cs="Times New Roman"/>
          <w:lang w:val="ru-RU"/>
        </w:rPr>
        <w:t>говора и распределение ролей</w:t>
      </w:r>
    </w:p>
    <w:p w:rsidR="007D3D28" w:rsidRDefault="00E00FE6">
      <w:pPr>
        <w:jc w:val="both"/>
      </w:pPr>
      <w:r>
        <w:rPr>
          <w:rFonts w:eastAsia="Times New Roman" w:cs="Times New Roman"/>
          <w:lang w:val="ru-RU"/>
        </w:rPr>
        <w:t>Договор должен позволять установить предмет, количество, стоимость, сроки, порядок поставки, приемки и оплаты, ответственность и обеспечение при его применимости. Для учета существенны условия перехода контроля, самостоятельные</w:t>
      </w:r>
      <w:r>
        <w:rPr>
          <w:rFonts w:eastAsia="Times New Roman" w:cs="Times New Roman"/>
          <w:lang w:val="ru-RU"/>
        </w:rPr>
        <w:t xml:space="preserve"> этапы исполнения и условия зачета аванса. Изменение договора влияет на регистры и не должно оставаться только в переписке исполнителей.</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2721"/>
        <w:gridCol w:w="3402"/>
        <w:gridCol w:w="3345"/>
      </w:tblGrid>
      <w:tr w:rsidR="007D3D28">
        <w:trPr>
          <w:cantSplit/>
          <w:tblHeader/>
          <w:jc w:val="center"/>
        </w:trPr>
        <w:tc>
          <w:tcPr>
            <w:tcW w:w="2721"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Участник процесса</w:t>
            </w:r>
          </w:p>
        </w:tc>
        <w:tc>
          <w:tcPr>
            <w:tcW w:w="3402"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Основная задача</w:t>
            </w:r>
          </w:p>
        </w:tc>
        <w:tc>
          <w:tcPr>
            <w:tcW w:w="3345"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Что не следует подменять</w:t>
            </w:r>
          </w:p>
        </w:tc>
      </w:tr>
      <w:tr w:rsidR="007D3D28">
        <w:trPr>
          <w:cantSplit/>
          <w:jc w:val="center"/>
        </w:trPr>
        <w:tc>
          <w:tcPr>
            <w:tcW w:w="2721" w:type="dxa"/>
            <w:vAlign w:val="center"/>
          </w:tcPr>
          <w:p w:rsidR="007D3D28" w:rsidRDefault="00E00FE6">
            <w:pPr>
              <w:keepNext/>
              <w:spacing w:after="0" w:line="240" w:lineRule="auto"/>
              <w:ind w:firstLine="0"/>
            </w:pPr>
            <w:r>
              <w:rPr>
                <w:rFonts w:eastAsia="Times New Roman" w:cs="Times New Roman"/>
                <w:sz w:val="21"/>
                <w:lang w:val="ru-RU"/>
              </w:rPr>
              <w:t>Инициатор потребности</w:t>
            </w:r>
          </w:p>
        </w:tc>
        <w:tc>
          <w:tcPr>
            <w:tcW w:w="3402" w:type="dxa"/>
            <w:vAlign w:val="center"/>
          </w:tcPr>
          <w:p w:rsidR="007D3D28" w:rsidRDefault="00E00FE6">
            <w:pPr>
              <w:keepNext/>
              <w:spacing w:after="0" w:line="240" w:lineRule="auto"/>
              <w:ind w:firstLine="0"/>
            </w:pPr>
            <w:r>
              <w:rPr>
                <w:rFonts w:eastAsia="Times New Roman" w:cs="Times New Roman"/>
                <w:sz w:val="21"/>
                <w:lang w:val="ru-RU"/>
              </w:rPr>
              <w:t>Обосновать объем и характеристики</w:t>
            </w:r>
          </w:p>
        </w:tc>
        <w:tc>
          <w:tcPr>
            <w:tcW w:w="3345" w:type="dxa"/>
            <w:vAlign w:val="center"/>
          </w:tcPr>
          <w:p w:rsidR="007D3D28" w:rsidRDefault="00E00FE6">
            <w:pPr>
              <w:keepNext/>
              <w:spacing w:after="0" w:line="240" w:lineRule="auto"/>
              <w:ind w:firstLine="0"/>
            </w:pPr>
            <w:r>
              <w:rPr>
                <w:rFonts w:eastAsia="Times New Roman" w:cs="Times New Roman"/>
                <w:sz w:val="21"/>
                <w:lang w:val="ru-RU"/>
              </w:rPr>
              <w:t>Наличие финансирования вместо необходимости</w:t>
            </w:r>
          </w:p>
        </w:tc>
      </w:tr>
      <w:tr w:rsidR="007D3D28">
        <w:trPr>
          <w:cantSplit/>
          <w:jc w:val="center"/>
        </w:trPr>
        <w:tc>
          <w:tcPr>
            <w:tcW w:w="2721" w:type="dxa"/>
            <w:vAlign w:val="center"/>
          </w:tcPr>
          <w:p w:rsidR="007D3D28" w:rsidRDefault="00E00FE6">
            <w:pPr>
              <w:keepNext/>
              <w:spacing w:after="0" w:line="240" w:lineRule="auto"/>
              <w:ind w:firstLine="0"/>
            </w:pPr>
            <w:r>
              <w:rPr>
                <w:rFonts w:eastAsia="Times New Roman" w:cs="Times New Roman"/>
                <w:sz w:val="21"/>
                <w:lang w:val="ru-RU"/>
              </w:rPr>
              <w:t>Специалист по закупкам</w:t>
            </w:r>
          </w:p>
        </w:tc>
        <w:tc>
          <w:tcPr>
            <w:tcW w:w="3402" w:type="dxa"/>
            <w:vAlign w:val="center"/>
          </w:tcPr>
          <w:p w:rsidR="007D3D28" w:rsidRDefault="00E00FE6">
            <w:pPr>
              <w:keepNext/>
              <w:spacing w:after="0" w:line="240" w:lineRule="auto"/>
              <w:ind w:firstLine="0"/>
            </w:pPr>
            <w:r>
              <w:rPr>
                <w:rFonts w:eastAsia="Times New Roman" w:cs="Times New Roman"/>
                <w:sz w:val="21"/>
                <w:lang w:val="ru-RU"/>
              </w:rPr>
              <w:t>Организовать предусмотренную процедуру</w:t>
            </w:r>
          </w:p>
        </w:tc>
        <w:tc>
          <w:tcPr>
            <w:tcW w:w="3345" w:type="dxa"/>
            <w:vAlign w:val="center"/>
          </w:tcPr>
          <w:p w:rsidR="007D3D28" w:rsidRDefault="00E00FE6">
            <w:pPr>
              <w:keepNext/>
              <w:spacing w:after="0" w:line="240" w:lineRule="auto"/>
              <w:ind w:firstLine="0"/>
            </w:pPr>
            <w:r>
              <w:rPr>
                <w:rFonts w:eastAsia="Times New Roman" w:cs="Times New Roman"/>
                <w:sz w:val="21"/>
                <w:lang w:val="ru-RU"/>
              </w:rPr>
              <w:t>Выбор поставщика бухгалтерской проводкой</w:t>
            </w:r>
          </w:p>
        </w:tc>
      </w:tr>
      <w:tr w:rsidR="007D3D28">
        <w:trPr>
          <w:cantSplit/>
          <w:jc w:val="center"/>
        </w:trPr>
        <w:tc>
          <w:tcPr>
            <w:tcW w:w="2721" w:type="dxa"/>
            <w:vAlign w:val="center"/>
          </w:tcPr>
          <w:p w:rsidR="007D3D28" w:rsidRDefault="00E00FE6">
            <w:pPr>
              <w:keepNext/>
              <w:spacing w:after="0" w:line="240" w:lineRule="auto"/>
              <w:ind w:firstLine="0"/>
            </w:pPr>
            <w:r>
              <w:rPr>
                <w:rFonts w:eastAsia="Times New Roman" w:cs="Times New Roman"/>
                <w:sz w:val="21"/>
                <w:lang w:val="ru-RU"/>
              </w:rPr>
              <w:lastRenderedPageBreak/>
              <w:t>Приемочная сторона</w:t>
            </w:r>
          </w:p>
        </w:tc>
        <w:tc>
          <w:tcPr>
            <w:tcW w:w="3402" w:type="dxa"/>
            <w:vAlign w:val="center"/>
          </w:tcPr>
          <w:p w:rsidR="007D3D28" w:rsidRDefault="00E00FE6">
            <w:pPr>
              <w:keepNext/>
              <w:spacing w:after="0" w:line="240" w:lineRule="auto"/>
              <w:ind w:firstLine="0"/>
            </w:pPr>
            <w:r>
              <w:rPr>
                <w:rFonts w:eastAsia="Times New Roman" w:cs="Times New Roman"/>
                <w:sz w:val="21"/>
                <w:lang w:val="ru-RU"/>
              </w:rPr>
              <w:t>Подтвердить фактический результат</w:t>
            </w:r>
          </w:p>
        </w:tc>
        <w:tc>
          <w:tcPr>
            <w:tcW w:w="3345" w:type="dxa"/>
            <w:vAlign w:val="center"/>
          </w:tcPr>
          <w:p w:rsidR="007D3D28" w:rsidRDefault="00E00FE6">
            <w:pPr>
              <w:keepNext/>
              <w:spacing w:after="0" w:line="240" w:lineRule="auto"/>
              <w:ind w:firstLine="0"/>
            </w:pPr>
            <w:r>
              <w:rPr>
                <w:rFonts w:eastAsia="Times New Roman" w:cs="Times New Roman"/>
                <w:sz w:val="21"/>
                <w:lang w:val="ru-RU"/>
              </w:rPr>
              <w:t>Подписью сам факт существования накладной</w:t>
            </w:r>
          </w:p>
        </w:tc>
      </w:tr>
      <w:tr w:rsidR="007D3D28">
        <w:trPr>
          <w:cantSplit/>
          <w:jc w:val="center"/>
        </w:trPr>
        <w:tc>
          <w:tcPr>
            <w:tcW w:w="2721" w:type="dxa"/>
            <w:vAlign w:val="center"/>
          </w:tcPr>
          <w:p w:rsidR="007D3D28" w:rsidRDefault="00E00FE6">
            <w:pPr>
              <w:keepNext/>
              <w:spacing w:after="0" w:line="240" w:lineRule="auto"/>
              <w:ind w:firstLine="0"/>
            </w:pPr>
            <w:r>
              <w:rPr>
                <w:rFonts w:eastAsia="Times New Roman" w:cs="Times New Roman"/>
                <w:sz w:val="21"/>
                <w:lang w:val="ru-RU"/>
              </w:rPr>
              <w:t>Бухгалтерия</w:t>
            </w:r>
          </w:p>
        </w:tc>
        <w:tc>
          <w:tcPr>
            <w:tcW w:w="3402" w:type="dxa"/>
            <w:vAlign w:val="center"/>
          </w:tcPr>
          <w:p w:rsidR="007D3D28" w:rsidRDefault="00E00FE6">
            <w:pPr>
              <w:keepNext/>
              <w:spacing w:after="0" w:line="240" w:lineRule="auto"/>
              <w:ind w:firstLine="0"/>
            </w:pPr>
            <w:r>
              <w:rPr>
                <w:rFonts w:eastAsia="Times New Roman" w:cs="Times New Roman"/>
                <w:sz w:val="21"/>
                <w:lang w:val="ru-RU"/>
              </w:rPr>
              <w:t>Классифицировать и отразить операцию</w:t>
            </w:r>
          </w:p>
        </w:tc>
        <w:tc>
          <w:tcPr>
            <w:tcW w:w="3345" w:type="dxa"/>
            <w:vAlign w:val="center"/>
          </w:tcPr>
          <w:p w:rsidR="007D3D28" w:rsidRDefault="00E00FE6">
            <w:pPr>
              <w:keepNext/>
              <w:spacing w:after="0" w:line="240" w:lineRule="auto"/>
              <w:ind w:firstLine="0"/>
            </w:pPr>
            <w:r>
              <w:rPr>
                <w:rFonts w:eastAsia="Times New Roman" w:cs="Times New Roman"/>
                <w:sz w:val="21"/>
                <w:lang w:val="ru-RU"/>
              </w:rPr>
              <w:t>Учетом техническое заключение о качестве</w:t>
            </w:r>
          </w:p>
        </w:tc>
      </w:tr>
      <w:tr w:rsidR="007D3D28">
        <w:trPr>
          <w:cantSplit/>
          <w:jc w:val="center"/>
        </w:trPr>
        <w:tc>
          <w:tcPr>
            <w:tcW w:w="2721" w:type="dxa"/>
            <w:vAlign w:val="center"/>
          </w:tcPr>
          <w:p w:rsidR="007D3D28" w:rsidRDefault="00E00FE6">
            <w:pPr>
              <w:keepNext w:val="0"/>
              <w:spacing w:after="0" w:line="240" w:lineRule="auto"/>
              <w:ind w:firstLine="0"/>
            </w:pPr>
            <w:r>
              <w:rPr>
                <w:rFonts w:eastAsia="Times New Roman" w:cs="Times New Roman"/>
                <w:sz w:val="21"/>
                <w:lang w:val="ru-RU"/>
              </w:rPr>
              <w:t>Уполномоченное лицо</w:t>
            </w:r>
          </w:p>
        </w:tc>
        <w:tc>
          <w:tcPr>
            <w:tcW w:w="3402" w:type="dxa"/>
            <w:vAlign w:val="center"/>
          </w:tcPr>
          <w:p w:rsidR="007D3D28" w:rsidRDefault="00E00FE6">
            <w:pPr>
              <w:keepNext w:val="0"/>
              <w:spacing w:after="0" w:line="240" w:lineRule="auto"/>
              <w:ind w:firstLine="0"/>
            </w:pPr>
            <w:r>
              <w:rPr>
                <w:rFonts w:eastAsia="Times New Roman" w:cs="Times New Roman"/>
                <w:sz w:val="21"/>
                <w:lang w:val="ru-RU"/>
              </w:rPr>
              <w:t>Согласовать решение в пределах полномочий</w:t>
            </w:r>
          </w:p>
        </w:tc>
        <w:tc>
          <w:tcPr>
            <w:tcW w:w="3345" w:type="dxa"/>
            <w:vAlign w:val="center"/>
          </w:tcPr>
          <w:p w:rsidR="007D3D28" w:rsidRDefault="00E00FE6">
            <w:pPr>
              <w:keepNext w:val="0"/>
              <w:spacing w:after="0" w:line="240" w:lineRule="auto"/>
              <w:ind w:firstLine="0"/>
            </w:pPr>
            <w:r>
              <w:rPr>
                <w:rFonts w:eastAsia="Times New Roman" w:cs="Times New Roman"/>
                <w:sz w:val="21"/>
                <w:lang w:val="ru-RU"/>
              </w:rPr>
              <w:t>Согласованием отсутствующие доказательства</w:t>
            </w:r>
          </w:p>
        </w:tc>
      </w:tr>
    </w:tbl>
    <w:p w:rsidR="007D3D28" w:rsidRDefault="007D3D28">
      <w:pPr>
        <w:spacing w:line="20" w:lineRule="exact"/>
        <w:ind w:firstLine="0"/>
      </w:pPr>
    </w:p>
    <w:p w:rsidR="007D3D28" w:rsidRDefault="00E00FE6">
      <w:pPr>
        <w:jc w:val="both"/>
      </w:pPr>
      <w:r>
        <w:rPr>
          <w:rFonts w:eastAsia="Times New Roman" w:cs="Times New Roman"/>
          <w:lang w:val="ru-RU"/>
        </w:rPr>
        <w:t xml:space="preserve">Разделение функций позволяет обнаружить ошибку до платежа. </w:t>
      </w:r>
      <w:r>
        <w:rPr>
          <w:rFonts w:eastAsia="Times New Roman" w:cs="Times New Roman"/>
          <w:lang w:val="ru-RU"/>
        </w:rPr>
        <w:t>Исполнитель, который создал поставщика, изменил его банковский счет, оформил приемку и утвердил перечисление, фактически контролирует всю операцию без независимой проверки. При малом штате используют компенсирующие проверки руководителя и документированное</w:t>
      </w:r>
      <w:r>
        <w:rPr>
          <w:rFonts w:eastAsia="Times New Roman" w:cs="Times New Roman"/>
          <w:lang w:val="ru-RU"/>
        </w:rPr>
        <w:t xml:space="preserve"> сопоставление данных.</w:t>
      </w:r>
    </w:p>
    <w:p w:rsidR="007D3D28" w:rsidRDefault="00E00FE6">
      <w:pPr>
        <w:pStyle w:val="1"/>
        <w:keepNext/>
      </w:pPr>
      <w:r>
        <w:rPr>
          <w:rFonts w:ascii="Times New Roman" w:eastAsia="Times New Roman" w:hAnsi="Times New Roman" w:cs="Times New Roman"/>
          <w:lang w:val="ru-RU"/>
        </w:rPr>
        <w:t>Бухгалтерский учет и контроль исполнения</w:t>
      </w:r>
    </w:p>
    <w:p w:rsidR="007D3D28" w:rsidRDefault="00E00FE6">
      <w:pPr>
        <w:pStyle w:val="1"/>
        <w:keepNext/>
      </w:pPr>
      <w:r>
        <w:rPr>
          <w:rFonts w:ascii="Times New Roman" w:eastAsia="Times New Roman" w:hAnsi="Times New Roman" w:cs="Times New Roman"/>
          <w:lang w:val="ru-RU"/>
        </w:rPr>
        <w:t>Когда возникает актив расход и задолженность</w:t>
      </w:r>
    </w:p>
    <w:p w:rsidR="007D3D28" w:rsidRDefault="00E00FE6">
      <w:pPr>
        <w:jc w:val="both"/>
      </w:pPr>
      <w:r>
        <w:rPr>
          <w:rFonts w:eastAsia="Times New Roman" w:cs="Times New Roman"/>
          <w:lang w:val="ru-RU"/>
        </w:rPr>
        <w:t>Само подписание договора обычно описывает будущее исполнение и не означает, что учреждение уже получило все ресурсы. При приемке определяю</w:t>
      </w:r>
      <w:r>
        <w:rPr>
          <w:rFonts w:eastAsia="Times New Roman" w:cs="Times New Roman"/>
          <w:lang w:val="ru-RU"/>
        </w:rPr>
        <w:t>т вид объекта: запас, основное средство, нематериальный актив или потребленная услуга. Кредиторская задолженность связывается с подтвержденным исполнением, а не только с наличием годового плана.</w:t>
      </w:r>
    </w:p>
    <w:p w:rsidR="007D3D28" w:rsidRDefault="00E00FE6">
      <w:pPr>
        <w:jc w:val="both"/>
      </w:pPr>
      <w:r>
        <w:rPr>
          <w:rFonts w:eastAsia="Times New Roman" w:cs="Times New Roman"/>
          <w:lang w:val="ru-RU"/>
        </w:rPr>
        <w:t>Накладная поставщика и внутреннее подтверждение приемки выпол</w:t>
      </w:r>
      <w:r>
        <w:rPr>
          <w:rFonts w:eastAsia="Times New Roman" w:cs="Times New Roman"/>
          <w:lang w:val="ru-RU"/>
        </w:rPr>
        <w:t>няют разные функции. Для оборудования дополнительно проверяют комплектность, готовность к использованию и необходимые документы. Для работ — объем и технический результат. Формальное совпадение суммы счета и договора не подтверждает фактическую поставку.</w:t>
      </w:r>
    </w:p>
    <w:p w:rsidR="007D3D28" w:rsidRDefault="00E00FE6">
      <w:pPr>
        <w:jc w:val="both"/>
      </w:pPr>
      <w:r>
        <w:rPr>
          <w:rFonts w:eastAsia="Times New Roman" w:cs="Times New Roman"/>
          <w:lang w:val="ru-RU"/>
        </w:rPr>
        <w:t>Расчеты за принятые поставки учитываются на счете 3210. Для предусмотренных Планом счетов платежей за счет республиканского бюджетного обеспечения текущей деятельности и капитальных вложений в примерах используются соответственно 1081 и 1082. Это счета плановых назначений, а не банковских денег. Для местного бюджета и иных источников применяется соответствующий счет и установленная корреспонденция. [Н4, Н20]</w:t>
      </w:r>
    </w:p>
    <w:p>
      <w:pPr>
        <w:keepNext w:val="0"/>
        <w:jc w:val="both"/>
      </w:pPr>
      <w:r>
        <w:rPr>
          <w:rFonts w:eastAsia="Times New Roman" w:cs="Times New Roman"/>
          <w:lang w:val="ru-RU"/>
        </w:rPr>
        <w:t>МСФО ОС 12, 31 и 45 требуют сначала определить полученный объект: запас, нематериальный актив или основное средство. Если ресурс уже потреблен, признается расход; если сохраняет будущий сервисный потенциал и выполняет критерии признания — актив. Капитальные затраты могут накапливаться до готовности объекта к использованию. Факт электронного подписания акта служит документальным основанием, но не заменяет проверку реальности и содержания хозяйственного события. [Н3, Н7; М12, М31, М45]</w:t>
      </w:r>
    </w:p>
    <w:p w:rsidR="007D3D28" w:rsidRDefault="00E00FE6">
      <w:pPr>
        <w:pStyle w:val="1"/>
        <w:keepNext/>
      </w:pPr>
      <w:r>
        <w:rPr>
          <w:rFonts w:ascii="Times New Roman" w:eastAsia="Times New Roman" w:hAnsi="Times New Roman" w:cs="Times New Roman"/>
          <w:lang w:val="ru-RU"/>
        </w:rPr>
        <w:t>Разобранный пример закупки с авансом</w:t>
      </w:r>
    </w:p>
    <w:p w:rsidR="007D3D28" w:rsidRDefault="00E00FE6">
      <w:pPr>
        <w:jc w:val="both"/>
      </w:pPr>
      <w:r>
        <w:rPr>
          <w:rFonts w:eastAsia="Times New Roman" w:cs="Times New Roman"/>
          <w:lang w:val="ru-RU"/>
        </w:rPr>
        <w:t>Учреждение, финансируемое из республиканского бюджета, заключило и зарегистрировало договор на приобретение прочих материалов стоимостью 1 200 тыс. тенге за счет текущего бюджетного обеспечения. Материалы относятся к счету 1319; суммы включают невозмещаемые налоги. Договором правомерно предусмотрен аванс 30%; поставка выполнена полностью и принята без замечаний.</w:t>
      </w:r>
    </w:p>
    <w:p w:rsidR="007D3D28" w:rsidRDefault="00E00FE6">
      <w:pPr>
        <w:jc w:val="both"/>
      </w:pPr>
      <w:r>
        <w:rPr>
          <w:rFonts w:eastAsia="Times New Roman" w:cs="Times New Roman"/>
          <w:lang w:val="ru-RU"/>
        </w:rPr>
        <w:t>Аванс равен 360, остаток к оплате после приемки и зачета аванса — 840. Перечисление аванса не подтверждает получение материалов и не создает расход по их использованию. Бухгалтер ведет требование к поставщику до исполнения либо иного пр</w:t>
      </w:r>
      <w:r>
        <w:rPr>
          <w:rFonts w:eastAsia="Times New Roman" w:cs="Times New Roman"/>
          <w:lang w:val="ru-RU"/>
        </w:rPr>
        <w:t>едусмотренного урегулирования.</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4365"/>
        <w:gridCol w:w="1701"/>
        <w:gridCol w:w="1701"/>
        <w:gridCol w:w="1701"/>
      </w:tblGrid>
      <w:tr w:rsidR="007D3D28">
        <w:trPr>
          <w:cantSplit/>
          <w:tblHeader/>
          <w:jc w:val="center"/>
        </w:trPr>
        <w:tc>
          <w:tcPr>
            <w:tcW w:w="4365"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Операция</w:t>
            </w:r>
          </w:p>
        </w:tc>
        <w:tc>
          <w:tcPr>
            <w:tcW w:w="1701" w:type="dxa"/>
            <w:shd w:val="clear" w:color="auto" w:fill="E8EFF5"/>
            <w:vAlign w:val="center"/>
          </w:tcPr>
          <w:p w:rsidR="007D3D28" w:rsidRDefault="00E00FE6">
            <w:pPr>
              <w:keepNext/>
              <w:spacing w:after="0" w:line="240" w:lineRule="auto"/>
              <w:ind w:firstLine="0"/>
              <w:jc w:val="center"/>
            </w:pPr>
            <w:r>
              <w:rPr>
                <w:rFonts w:eastAsia="Times New Roman" w:cs="Times New Roman"/>
                <w:b/>
                <w:sz w:val="21"/>
                <w:lang w:val="ru-RU"/>
              </w:rPr>
              <w:t>Дебет</w:t>
            </w:r>
          </w:p>
        </w:tc>
        <w:tc>
          <w:tcPr>
            <w:tcW w:w="1701" w:type="dxa"/>
            <w:shd w:val="clear" w:color="auto" w:fill="E8EFF5"/>
            <w:vAlign w:val="center"/>
          </w:tcPr>
          <w:p w:rsidR="007D3D28" w:rsidRDefault="00E00FE6">
            <w:pPr>
              <w:keepNext/>
              <w:spacing w:after="0" w:line="240" w:lineRule="auto"/>
              <w:ind w:firstLine="0"/>
              <w:jc w:val="center"/>
            </w:pPr>
            <w:r>
              <w:rPr>
                <w:rFonts w:eastAsia="Times New Roman" w:cs="Times New Roman"/>
                <w:b/>
                <w:sz w:val="21"/>
                <w:lang w:val="ru-RU"/>
              </w:rPr>
              <w:t>Кредит</w:t>
            </w:r>
          </w:p>
        </w:tc>
        <w:tc>
          <w:tcPr>
            <w:tcW w:w="1701" w:type="dxa"/>
            <w:shd w:val="clear" w:color="auto" w:fill="E8EFF5"/>
            <w:vAlign w:val="center"/>
          </w:tcPr>
          <w:p w:rsidR="007D3D28" w:rsidRDefault="00E00FE6">
            <w:pPr>
              <w:keepNext/>
              <w:spacing w:after="0" w:line="240" w:lineRule="auto"/>
              <w:ind w:firstLine="0"/>
              <w:jc w:val="center"/>
            </w:pPr>
            <w:r>
              <w:rPr>
                <w:rFonts w:eastAsia="Times New Roman" w:cs="Times New Roman"/>
                <w:b/>
                <w:sz w:val="21"/>
                <w:lang w:val="ru-RU"/>
              </w:rPr>
              <w:t>Тыс тенге</w:t>
            </w:r>
          </w:p>
        </w:tc>
      </w:tr>
      <w:tr w:rsidR="007D3D28">
        <w:trPr>
          <w:cantSplit/>
          <w:jc w:val="center"/>
        </w:trPr>
        <w:tc>
          <w:tcPr>
            <w:tcW w:w="4365" w:type="dxa"/>
            <w:vAlign w:val="center"/>
          </w:tcPr>
          <w:p w:rsidR="007D3D28" w:rsidRDefault="00E00FE6">
            <w:pPr>
              <w:keepNext/>
              <w:spacing w:after="0" w:line="240" w:lineRule="auto"/>
              <w:ind w:firstLine="0"/>
            </w:pPr>
            <w:r>
              <w:rPr>
                <w:rFonts w:eastAsia="Times New Roman" w:cs="Times New Roman"/>
                <w:sz w:val="21"/>
                <w:lang w:val="ru-RU"/>
              </w:rPr>
              <w:t>Перечислен разрешенный аванс</w:t>
            </w:r>
          </w:p>
        </w:tc>
        <w:tc>
          <w:tcPr>
            <w:tcW w:w="1701" w:type="dxa"/>
            <w:vAlign w:val="center"/>
          </w:tcPr>
          <w:p w:rsidR="007D3D28" w:rsidRDefault="00E00FE6">
            <w:pPr>
              <w:keepNext/>
              <w:spacing w:after="0" w:line="240" w:lineRule="auto"/>
              <w:ind w:firstLine="0"/>
            </w:pPr>
            <w:r>
              <w:rPr>
                <w:rFonts w:eastAsia="Times New Roman" w:cs="Times New Roman"/>
                <w:sz w:val="21"/>
                <w:lang w:val="ru-RU"/>
              </w:rPr>
              <w:t>Аванс выданный</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1081</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360</w:t>
            </w:r>
          </w:p>
        </w:tc>
      </w:tr>
      <w:tr w:rsidR="007D3D28">
        <w:trPr>
          <w:cantSplit/>
          <w:jc w:val="center"/>
        </w:trPr>
        <w:tc>
          <w:tcPr>
            <w:tcW w:w="4365" w:type="dxa"/>
            <w:vAlign w:val="center"/>
          </w:tcPr>
          <w:p w:rsidR="007D3D28" w:rsidRDefault="00E00FE6">
            <w:pPr>
              <w:keepNext/>
              <w:spacing w:after="0" w:line="240" w:lineRule="auto"/>
              <w:ind w:firstLine="0"/>
            </w:pPr>
            <w:r>
              <w:rPr>
                <w:rFonts w:eastAsia="Times New Roman" w:cs="Times New Roman"/>
                <w:sz w:val="21"/>
                <w:lang w:val="ru-RU"/>
              </w:rPr>
              <w:t>Приняты прочие материалы</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1319</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3210</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1 200</w:t>
            </w:r>
          </w:p>
        </w:tc>
      </w:tr>
      <w:tr w:rsidR="007D3D28">
        <w:trPr>
          <w:cantSplit/>
          <w:jc w:val="center"/>
        </w:trPr>
        <w:tc>
          <w:tcPr>
            <w:tcW w:w="4365" w:type="dxa"/>
            <w:vAlign w:val="center"/>
          </w:tcPr>
          <w:p w:rsidR="007D3D28" w:rsidRDefault="00E00FE6">
            <w:pPr>
              <w:keepNext/>
              <w:spacing w:after="0" w:line="240" w:lineRule="auto"/>
              <w:ind w:firstLine="0"/>
            </w:pPr>
            <w:r>
              <w:rPr>
                <w:rFonts w:eastAsia="Times New Roman" w:cs="Times New Roman"/>
                <w:sz w:val="21"/>
                <w:lang w:val="ru-RU"/>
              </w:rPr>
              <w:t>Зачтен ранее выданный аванс</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3210</w:t>
            </w:r>
          </w:p>
        </w:tc>
        <w:tc>
          <w:tcPr>
            <w:tcW w:w="1701" w:type="dxa"/>
            <w:vAlign w:val="center"/>
          </w:tcPr>
          <w:p w:rsidR="007D3D28" w:rsidRDefault="00E00FE6">
            <w:pPr>
              <w:keepNext/>
              <w:spacing w:after="0" w:line="240" w:lineRule="auto"/>
              <w:ind w:firstLine="0"/>
            </w:pPr>
            <w:r>
              <w:rPr>
                <w:rFonts w:eastAsia="Times New Roman" w:cs="Times New Roman"/>
                <w:sz w:val="21"/>
                <w:lang w:val="ru-RU"/>
              </w:rPr>
              <w:t>Аванс выданный</w:t>
            </w:r>
          </w:p>
        </w:tc>
        <w:tc>
          <w:tcPr>
            <w:tcW w:w="1701" w:type="dxa"/>
            <w:vAlign w:val="center"/>
          </w:tcPr>
          <w:p w:rsidR="007D3D28" w:rsidRDefault="00E00FE6">
            <w:pPr>
              <w:keepNext/>
              <w:spacing w:after="0" w:line="240" w:lineRule="auto"/>
              <w:ind w:firstLine="0"/>
              <w:jc w:val="center"/>
            </w:pPr>
            <w:r>
              <w:rPr>
                <w:rFonts w:eastAsia="Times New Roman" w:cs="Times New Roman"/>
                <w:sz w:val="21"/>
                <w:lang w:val="ru-RU"/>
              </w:rPr>
              <w:t>360</w:t>
            </w:r>
          </w:p>
        </w:tc>
      </w:tr>
      <w:tr w:rsidR="007D3D28">
        <w:trPr>
          <w:cantSplit/>
          <w:jc w:val="center"/>
        </w:trPr>
        <w:tc>
          <w:tcPr>
            <w:tcW w:w="4365" w:type="dxa"/>
            <w:vAlign w:val="center"/>
          </w:tcPr>
          <w:p w:rsidR="007D3D28" w:rsidRDefault="00E00FE6">
            <w:pPr>
              <w:keepNext w:val="0"/>
              <w:spacing w:after="0" w:line="240" w:lineRule="auto"/>
              <w:ind w:firstLine="0"/>
            </w:pPr>
            <w:r>
              <w:rPr>
                <w:rFonts w:eastAsia="Times New Roman" w:cs="Times New Roman"/>
                <w:sz w:val="21"/>
                <w:lang w:val="ru-RU"/>
              </w:rPr>
              <w:t>Перечислен остаток поставщику</w:t>
            </w:r>
          </w:p>
        </w:tc>
        <w:tc>
          <w:tcPr>
            <w:tcW w:w="1701" w:type="dxa"/>
            <w:vAlign w:val="center"/>
          </w:tcPr>
          <w:p w:rsidR="007D3D28" w:rsidRDefault="00E00FE6">
            <w:pPr>
              <w:keepNext w:val="0"/>
              <w:spacing w:after="0" w:line="240" w:lineRule="auto"/>
              <w:ind w:firstLine="0"/>
              <w:jc w:val="center"/>
            </w:pPr>
            <w:r>
              <w:rPr>
                <w:rFonts w:eastAsia="Times New Roman" w:cs="Times New Roman"/>
                <w:sz w:val="21"/>
                <w:lang w:val="ru-RU"/>
              </w:rPr>
              <w:t>3210</w:t>
            </w:r>
          </w:p>
        </w:tc>
        <w:tc>
          <w:tcPr>
            <w:tcW w:w="1701" w:type="dxa"/>
            <w:vAlign w:val="center"/>
          </w:tcPr>
          <w:p w:rsidR="007D3D28" w:rsidRDefault="00E00FE6">
            <w:pPr>
              <w:keepNext w:val="0"/>
              <w:spacing w:after="0" w:line="240" w:lineRule="auto"/>
              <w:ind w:firstLine="0"/>
              <w:jc w:val="center"/>
            </w:pPr>
            <w:r>
              <w:rPr>
                <w:rFonts w:eastAsia="Times New Roman" w:cs="Times New Roman"/>
                <w:sz w:val="21"/>
                <w:lang w:val="ru-RU"/>
              </w:rPr>
              <w:t>1081</w:t>
            </w:r>
          </w:p>
        </w:tc>
        <w:tc>
          <w:tcPr>
            <w:tcW w:w="1701" w:type="dxa"/>
            <w:vAlign w:val="center"/>
          </w:tcPr>
          <w:p w:rsidR="007D3D28" w:rsidRDefault="00E00FE6">
            <w:pPr>
              <w:keepNext w:val="0"/>
              <w:spacing w:after="0" w:line="240" w:lineRule="auto"/>
              <w:ind w:firstLine="0"/>
              <w:jc w:val="center"/>
            </w:pPr>
            <w:r>
              <w:rPr>
                <w:rFonts w:eastAsia="Times New Roman" w:cs="Times New Roman"/>
                <w:sz w:val="21"/>
                <w:lang w:val="ru-RU"/>
              </w:rPr>
              <w:t>840</w:t>
            </w:r>
          </w:p>
        </w:tc>
      </w:tr>
    </w:tbl>
    <w:p w:rsidR="007D3D28" w:rsidRDefault="007D3D28">
      <w:pPr>
        <w:spacing w:line="20" w:lineRule="exact"/>
        <w:ind w:firstLine="0"/>
      </w:pPr>
    </w:p>
    <w:p w:rsidR="007D3D28" w:rsidRDefault="00E00FE6">
      <w:pPr>
        <w:jc w:val="both"/>
      </w:pPr>
      <w:r>
        <w:rPr>
          <w:rFonts w:eastAsia="Times New Roman" w:cs="Times New Roman"/>
          <w:lang w:val="ru-RU"/>
        </w:rPr>
        <w:t xml:space="preserve">После этих операций по данному договору отсутствуют задолженность поставщику и выданный аванс; материалы учтены на 1 200. Если затем использовано 500, расход по материалам равен 500, остаток запасов — 700. Сумма денежного перечисления 1 200 не является </w:t>
      </w:r>
      <w:r>
        <w:rPr>
          <w:rFonts w:eastAsia="Times New Roman" w:cs="Times New Roman"/>
          <w:lang w:val="ru-RU"/>
        </w:rPr>
        <w:t>основанием немедленно списать весь запас.</w:t>
      </w:r>
    </w:p>
    <w:p w:rsidR="007D3D28" w:rsidRDefault="00E00FE6">
      <w:pPr>
        <w:jc w:val="both"/>
      </w:pPr>
      <w:r>
        <w:rPr>
          <w:rFonts w:eastAsia="Times New Roman" w:cs="Times New Roman"/>
          <w:lang w:val="ru-RU"/>
        </w:rPr>
        <w:t>В таблице для аванса дано смысловое название, поскольку конкретный субсчет выбирается по характеру приобретаемого ресурса. Содержание записи должно быть определено до выбора номера. При изменении источника оплаты м</w:t>
      </w:r>
      <w:r>
        <w:rPr>
          <w:rFonts w:eastAsia="Times New Roman" w:cs="Times New Roman"/>
          <w:lang w:val="ru-RU"/>
        </w:rPr>
        <w:t>еняется и соответствующая корреспонденция платежа; строки примера нельзя применять к любому денежному счету без проверки.</w:t>
      </w:r>
    </w:p>
    <w:p w:rsidR="007D3D28" w:rsidRDefault="00E00FE6">
      <w:pPr>
        <w:pStyle w:val="1"/>
        <w:keepNext/>
      </w:pPr>
      <w:r>
        <w:rPr>
          <w:rFonts w:ascii="Times New Roman" w:eastAsia="Times New Roman" w:hAnsi="Times New Roman" w:cs="Times New Roman"/>
          <w:lang w:val="ru-RU"/>
        </w:rPr>
        <w:t>Переплата и неполное исполнение</w:t>
      </w:r>
    </w:p>
    <w:p w:rsidR="007D3D28" w:rsidRDefault="00E00FE6">
      <w:pPr>
        <w:jc w:val="both"/>
      </w:pPr>
      <w:r>
        <w:rPr>
          <w:rFonts w:eastAsia="Times New Roman" w:cs="Times New Roman"/>
          <w:lang w:val="ru-RU"/>
        </w:rPr>
        <w:t>Если после аванса 360 бухгалтер перечислит полную договорную сумму 1 200 без зачета, общая оплата со</w:t>
      </w:r>
      <w:r>
        <w:rPr>
          <w:rFonts w:eastAsia="Times New Roman" w:cs="Times New Roman"/>
          <w:lang w:val="ru-RU"/>
        </w:rPr>
        <w:t>ставит 1 560. При поставке только на 1 200 возникает переплата 360. Сверка договора, аванса, приемки и общей суммы платежей должна обнаружить это до второго перечисления.</w:t>
      </w:r>
    </w:p>
    <w:p w:rsidR="007D3D28" w:rsidRDefault="00E00FE6">
      <w:pPr>
        <w:jc w:val="both"/>
      </w:pPr>
      <w:r>
        <w:rPr>
          <w:rFonts w:eastAsia="Times New Roman" w:cs="Times New Roman"/>
          <w:lang w:val="ru-RU"/>
        </w:rPr>
        <w:t>Если поставка выполнена частично, нельзя оформлять полный объем ради завершения кассо</w:t>
      </w:r>
      <w:r>
        <w:rPr>
          <w:rFonts w:eastAsia="Times New Roman" w:cs="Times New Roman"/>
          <w:lang w:val="ru-RU"/>
        </w:rPr>
        <w:t>вого исполнения. В учете отражаются подтвержденные ресурсы, надлежащим образом анализируются аванс, задолженность и претензия. Нарушение срока поставки и ошибочная учетная запись являются разными вопросами и требуют отдельных решений.</w:t>
      </w:r>
    </w:p>
    <w:p w:rsidR="007D3D28" w:rsidRDefault="00E00FE6">
      <w:pPr>
        <w:jc w:val="both"/>
      </w:pPr>
      <w:r>
        <w:rPr>
          <w:rFonts w:eastAsia="Times New Roman" w:cs="Times New Roman"/>
          <w:lang w:val="ru-RU"/>
        </w:rPr>
        <w:t>Обеспечение исполнени</w:t>
      </w:r>
      <w:r>
        <w:rPr>
          <w:rFonts w:eastAsia="Times New Roman" w:cs="Times New Roman"/>
          <w:lang w:val="ru-RU"/>
        </w:rPr>
        <w:t>я договора также не становится свободным доходом учреждения при получении. Нужно установить его форму, принадлежность и основания возврата либо обращения. Банковская гарантия и фактически поступивший обеспечительный платеж имеют разное содержание; одинаков</w:t>
      </w:r>
      <w:r>
        <w:rPr>
          <w:rFonts w:eastAsia="Times New Roman" w:cs="Times New Roman"/>
          <w:lang w:val="ru-RU"/>
        </w:rPr>
        <w:t>ое слово «обеспечение» не означает одинаковую запись.</w:t>
      </w:r>
    </w:p>
    <w:p>
      <w:pPr>
        <w:keepNext w:val="0"/>
        <w:jc w:val="both"/>
      </w:pPr>
      <w:r>
        <w:rPr>
          <w:rFonts w:eastAsia="Times New Roman" w:cs="Times New Roman"/>
          <w:lang w:val="ru-RU"/>
        </w:rPr>
        <w:t>Договор закупки обычно является договором к исполнению: обе стороны еще должны выполнить свои встречные обязанности. Сам по себе он не создает расход на всю цену. Исключения требуют отдельного анализа, например обременительный договор по МСФО ОС 19, когда неизбежные затраты на исполнение превышают ожидаемые выгоды или сервисный потенциал. До создания оценочного обязательства проверяется обесценение связанных с договором активов. [М19]</w:t>
      </w:r>
    </w:p>
    <w:p w:rsidR="007D3D28" w:rsidRDefault="00E00FE6">
      <w:pPr>
        <w:pStyle w:val="1"/>
        <w:keepNext/>
      </w:pPr>
      <w:r>
        <w:rPr>
          <w:rFonts w:ascii="Times New Roman" w:eastAsia="Times New Roman" w:hAnsi="Times New Roman" w:cs="Times New Roman"/>
          <w:lang w:val="ru-RU"/>
        </w:rPr>
        <w:t>Процедуры контроля закупки</w:t>
      </w:r>
    </w:p>
    <w:p w:rsidR="007D3D28" w:rsidRDefault="00E00FE6">
      <w:pPr>
        <w:jc w:val="both"/>
      </w:pPr>
      <w:r>
        <w:rPr>
          <w:rFonts w:eastAsia="Times New Roman" w:cs="Times New Roman"/>
          <w:lang w:val="ru-RU"/>
        </w:rPr>
        <w:t xml:space="preserve">Перед оплатой сопоставляют договор, документ приемки и документ поставщика. Проверяют идентификаторы, номенклатуру, количество, цену, ранее перечисленные суммы и банковские </w:t>
      </w:r>
      <w:r>
        <w:rPr>
          <w:rFonts w:eastAsia="Times New Roman" w:cs="Times New Roman"/>
          <w:lang w:val="ru-RU"/>
        </w:rPr>
        <w:t>реквизиты. Проверка только общей стоимости не обнаружит замену дорогой позиции дешевой при сохранении итога.</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3118"/>
        <w:gridCol w:w="3175"/>
        <w:gridCol w:w="3175"/>
      </w:tblGrid>
      <w:tr w:rsidR="007D3D28">
        <w:trPr>
          <w:cantSplit/>
          <w:tblHeader/>
          <w:jc w:val="center"/>
        </w:trPr>
        <w:tc>
          <w:tcPr>
            <w:tcW w:w="3118"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Риск</w:t>
            </w:r>
          </w:p>
        </w:tc>
        <w:tc>
          <w:tcPr>
            <w:tcW w:w="3175"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Контрольная процедура</w:t>
            </w:r>
          </w:p>
        </w:tc>
        <w:tc>
          <w:tcPr>
            <w:tcW w:w="3175" w:type="dxa"/>
            <w:shd w:val="clear" w:color="auto" w:fill="E8EFF5"/>
            <w:vAlign w:val="center"/>
          </w:tcPr>
          <w:p w:rsidR="007D3D28" w:rsidRDefault="00E00FE6">
            <w:pPr>
              <w:keepNext/>
              <w:spacing w:after="0" w:line="240" w:lineRule="auto"/>
              <w:ind w:firstLine="0"/>
            </w:pPr>
            <w:r>
              <w:rPr>
                <w:rFonts w:eastAsia="Times New Roman" w:cs="Times New Roman"/>
                <w:b/>
                <w:sz w:val="21"/>
                <w:lang w:val="ru-RU"/>
              </w:rPr>
              <w:t>Подтверждение результата</w:t>
            </w:r>
          </w:p>
        </w:tc>
      </w:tr>
      <w:tr w:rsidR="007D3D28">
        <w:trPr>
          <w:cantSplit/>
          <w:jc w:val="center"/>
        </w:trPr>
        <w:tc>
          <w:tcPr>
            <w:tcW w:w="3118" w:type="dxa"/>
            <w:vAlign w:val="center"/>
          </w:tcPr>
          <w:p w:rsidR="007D3D28" w:rsidRDefault="00E00FE6">
            <w:pPr>
              <w:keepNext/>
              <w:spacing w:after="0" w:line="240" w:lineRule="auto"/>
              <w:ind w:firstLine="0"/>
            </w:pPr>
            <w:r>
              <w:rPr>
                <w:rFonts w:eastAsia="Times New Roman" w:cs="Times New Roman"/>
                <w:sz w:val="21"/>
                <w:lang w:val="ru-RU"/>
              </w:rPr>
              <w:t>Завышенная потребность</w:t>
            </w:r>
          </w:p>
        </w:tc>
        <w:tc>
          <w:tcPr>
            <w:tcW w:w="3175" w:type="dxa"/>
            <w:vAlign w:val="center"/>
          </w:tcPr>
          <w:p w:rsidR="007D3D28" w:rsidRDefault="00E00FE6">
            <w:pPr>
              <w:keepNext/>
              <w:spacing w:after="0" w:line="240" w:lineRule="auto"/>
              <w:ind w:firstLine="0"/>
            </w:pPr>
            <w:r>
              <w:rPr>
                <w:rFonts w:eastAsia="Times New Roman" w:cs="Times New Roman"/>
                <w:sz w:val="21"/>
                <w:lang w:val="ru-RU"/>
              </w:rPr>
              <w:t>Сравнить заявку с остатками и объемом услуги</w:t>
            </w:r>
          </w:p>
        </w:tc>
        <w:tc>
          <w:tcPr>
            <w:tcW w:w="3175" w:type="dxa"/>
            <w:vAlign w:val="center"/>
          </w:tcPr>
          <w:p w:rsidR="007D3D28" w:rsidRDefault="00E00FE6">
            <w:pPr>
              <w:keepNext/>
              <w:spacing w:after="0" w:line="240" w:lineRule="auto"/>
              <w:ind w:firstLine="0"/>
            </w:pPr>
            <w:r>
              <w:rPr>
                <w:rFonts w:eastAsia="Times New Roman" w:cs="Times New Roman"/>
                <w:sz w:val="21"/>
                <w:lang w:val="ru-RU"/>
              </w:rPr>
              <w:t>Расчет потребности</w:t>
            </w:r>
          </w:p>
        </w:tc>
      </w:tr>
      <w:tr w:rsidR="007D3D28">
        <w:trPr>
          <w:cantSplit/>
          <w:jc w:val="center"/>
        </w:trPr>
        <w:tc>
          <w:tcPr>
            <w:tcW w:w="3118" w:type="dxa"/>
            <w:vAlign w:val="center"/>
          </w:tcPr>
          <w:p w:rsidR="007D3D28" w:rsidRDefault="00E00FE6">
            <w:pPr>
              <w:keepNext/>
              <w:spacing w:after="0" w:line="240" w:lineRule="auto"/>
              <w:ind w:firstLine="0"/>
            </w:pPr>
            <w:r>
              <w:rPr>
                <w:rFonts w:eastAsia="Times New Roman" w:cs="Times New Roman"/>
                <w:sz w:val="21"/>
                <w:lang w:val="ru-RU"/>
              </w:rPr>
              <w:t>Недопустимый способ закупки</w:t>
            </w:r>
          </w:p>
        </w:tc>
        <w:tc>
          <w:tcPr>
            <w:tcW w:w="3175" w:type="dxa"/>
            <w:vAlign w:val="center"/>
          </w:tcPr>
          <w:p w:rsidR="007D3D28" w:rsidRDefault="00E00FE6">
            <w:pPr>
              <w:keepNext/>
              <w:spacing w:after="0" w:line="240" w:lineRule="auto"/>
              <w:ind w:firstLine="0"/>
            </w:pPr>
            <w:r>
              <w:rPr>
                <w:rFonts w:eastAsia="Times New Roman" w:cs="Times New Roman"/>
                <w:sz w:val="21"/>
                <w:lang w:val="ru-RU"/>
              </w:rPr>
              <w:t>Установить правовое основание способа</w:t>
            </w:r>
          </w:p>
        </w:tc>
        <w:tc>
          <w:tcPr>
            <w:tcW w:w="3175" w:type="dxa"/>
            <w:vAlign w:val="center"/>
          </w:tcPr>
          <w:p w:rsidR="007D3D28" w:rsidRDefault="00E00FE6">
            <w:pPr>
              <w:keepNext/>
              <w:spacing w:after="0" w:line="240" w:lineRule="auto"/>
              <w:ind w:firstLine="0"/>
            </w:pPr>
            <w:r>
              <w:rPr>
                <w:rFonts w:eastAsia="Times New Roman" w:cs="Times New Roman"/>
                <w:sz w:val="21"/>
                <w:lang w:val="ru-RU"/>
              </w:rPr>
              <w:t>Обоснование и материалы процедуры</w:t>
            </w:r>
          </w:p>
        </w:tc>
      </w:tr>
      <w:tr w:rsidR="007D3D28">
        <w:trPr>
          <w:cantSplit/>
          <w:jc w:val="center"/>
        </w:trPr>
        <w:tc>
          <w:tcPr>
            <w:tcW w:w="3118" w:type="dxa"/>
            <w:vAlign w:val="center"/>
          </w:tcPr>
          <w:p w:rsidR="007D3D28" w:rsidRDefault="00E00FE6">
            <w:pPr>
              <w:keepNext/>
              <w:spacing w:after="0" w:line="240" w:lineRule="auto"/>
              <w:ind w:firstLine="0"/>
            </w:pPr>
            <w:r>
              <w:rPr>
                <w:rFonts w:eastAsia="Times New Roman" w:cs="Times New Roman"/>
                <w:sz w:val="21"/>
                <w:lang w:val="ru-RU"/>
              </w:rPr>
              <w:t>Фиктивная или неполная приемка</w:t>
            </w:r>
          </w:p>
        </w:tc>
        <w:tc>
          <w:tcPr>
            <w:tcW w:w="3175" w:type="dxa"/>
            <w:vAlign w:val="center"/>
          </w:tcPr>
          <w:p w:rsidR="007D3D28" w:rsidRDefault="00E00FE6">
            <w:pPr>
              <w:keepNext/>
              <w:spacing w:after="0" w:line="240" w:lineRule="auto"/>
              <w:ind w:firstLine="0"/>
            </w:pPr>
            <w:r>
              <w:rPr>
                <w:rFonts w:eastAsia="Times New Roman" w:cs="Times New Roman"/>
                <w:sz w:val="21"/>
                <w:lang w:val="ru-RU"/>
              </w:rPr>
              <w:t>Проверить фактический результат и условия договора</w:t>
            </w:r>
          </w:p>
        </w:tc>
        <w:tc>
          <w:tcPr>
            <w:tcW w:w="3175" w:type="dxa"/>
            <w:vAlign w:val="center"/>
          </w:tcPr>
          <w:p w:rsidR="007D3D28" w:rsidRDefault="00E00FE6">
            <w:pPr>
              <w:keepNext/>
              <w:spacing w:after="0" w:line="240" w:lineRule="auto"/>
              <w:ind w:firstLine="0"/>
            </w:pPr>
            <w:r>
              <w:rPr>
                <w:rFonts w:eastAsia="Times New Roman" w:cs="Times New Roman"/>
                <w:sz w:val="21"/>
                <w:lang w:val="ru-RU"/>
              </w:rPr>
              <w:t>Акт протокол осмотр</w:t>
            </w:r>
          </w:p>
        </w:tc>
      </w:tr>
      <w:tr w:rsidR="007D3D28">
        <w:trPr>
          <w:cantSplit/>
          <w:jc w:val="center"/>
        </w:trPr>
        <w:tc>
          <w:tcPr>
            <w:tcW w:w="3118" w:type="dxa"/>
            <w:vAlign w:val="center"/>
          </w:tcPr>
          <w:p w:rsidR="007D3D28" w:rsidRDefault="00E00FE6">
            <w:pPr>
              <w:keepNext/>
              <w:spacing w:after="0" w:line="240" w:lineRule="auto"/>
              <w:ind w:firstLine="0"/>
            </w:pPr>
            <w:r>
              <w:rPr>
                <w:rFonts w:eastAsia="Times New Roman" w:cs="Times New Roman"/>
                <w:sz w:val="21"/>
                <w:lang w:val="ru-RU"/>
              </w:rPr>
              <w:t>Двойная оплата</w:t>
            </w:r>
          </w:p>
        </w:tc>
        <w:tc>
          <w:tcPr>
            <w:tcW w:w="3175" w:type="dxa"/>
            <w:vAlign w:val="center"/>
          </w:tcPr>
          <w:p w:rsidR="007D3D28" w:rsidRDefault="00E00FE6">
            <w:pPr>
              <w:keepNext/>
              <w:spacing w:after="0" w:line="240" w:lineRule="auto"/>
              <w:ind w:firstLine="0"/>
            </w:pPr>
            <w:r>
              <w:rPr>
                <w:rFonts w:eastAsia="Times New Roman" w:cs="Times New Roman"/>
                <w:sz w:val="21"/>
                <w:lang w:val="ru-RU"/>
              </w:rPr>
              <w:t xml:space="preserve">Сопоставить все платежи и зачтенные </w:t>
            </w:r>
            <w:r>
              <w:rPr>
                <w:rFonts w:eastAsia="Times New Roman" w:cs="Times New Roman"/>
                <w:sz w:val="21"/>
                <w:lang w:val="ru-RU"/>
              </w:rPr>
              <w:t>авансы</w:t>
            </w:r>
          </w:p>
        </w:tc>
        <w:tc>
          <w:tcPr>
            <w:tcW w:w="3175" w:type="dxa"/>
            <w:vAlign w:val="center"/>
          </w:tcPr>
          <w:p w:rsidR="007D3D28" w:rsidRDefault="00E00FE6">
            <w:pPr>
              <w:keepNext/>
              <w:spacing w:after="0" w:line="240" w:lineRule="auto"/>
              <w:ind w:firstLine="0"/>
            </w:pPr>
            <w:r>
              <w:rPr>
                <w:rFonts w:eastAsia="Times New Roman" w:cs="Times New Roman"/>
                <w:sz w:val="21"/>
                <w:lang w:val="ru-RU"/>
              </w:rPr>
              <w:t>Регистр расчетов по договору</w:t>
            </w:r>
          </w:p>
        </w:tc>
      </w:tr>
      <w:tr w:rsidR="007D3D28">
        <w:trPr>
          <w:cantSplit/>
          <w:jc w:val="center"/>
        </w:trPr>
        <w:tc>
          <w:tcPr>
            <w:tcW w:w="3118" w:type="dxa"/>
            <w:vAlign w:val="center"/>
          </w:tcPr>
          <w:p w:rsidR="007D3D28" w:rsidRDefault="00E00FE6">
            <w:pPr>
              <w:keepNext/>
              <w:spacing w:after="0" w:line="240" w:lineRule="auto"/>
              <w:ind w:firstLine="0"/>
            </w:pPr>
            <w:r>
              <w:rPr>
                <w:rFonts w:eastAsia="Times New Roman" w:cs="Times New Roman"/>
                <w:sz w:val="21"/>
                <w:lang w:val="ru-RU"/>
              </w:rPr>
              <w:t>Подмена реквизитов</w:t>
            </w:r>
          </w:p>
        </w:tc>
        <w:tc>
          <w:tcPr>
            <w:tcW w:w="3175" w:type="dxa"/>
            <w:vAlign w:val="center"/>
          </w:tcPr>
          <w:p w:rsidR="007D3D28" w:rsidRDefault="00E00FE6">
            <w:pPr>
              <w:keepNext/>
              <w:spacing w:after="0" w:line="240" w:lineRule="auto"/>
              <w:ind w:firstLine="0"/>
            </w:pPr>
            <w:r>
              <w:rPr>
                <w:rFonts w:eastAsia="Times New Roman" w:cs="Times New Roman"/>
                <w:sz w:val="21"/>
                <w:lang w:val="ru-RU"/>
              </w:rPr>
              <w:t>Независимо подтвердить изменение реквизитов</w:t>
            </w:r>
          </w:p>
        </w:tc>
        <w:tc>
          <w:tcPr>
            <w:tcW w:w="3175" w:type="dxa"/>
            <w:vAlign w:val="center"/>
          </w:tcPr>
          <w:p w:rsidR="007D3D28" w:rsidRDefault="00E00FE6">
            <w:pPr>
              <w:keepNext/>
              <w:spacing w:after="0" w:line="240" w:lineRule="auto"/>
              <w:ind w:firstLine="0"/>
            </w:pPr>
            <w:r>
              <w:rPr>
                <w:rFonts w:eastAsia="Times New Roman" w:cs="Times New Roman"/>
                <w:sz w:val="21"/>
                <w:lang w:val="ru-RU"/>
              </w:rPr>
              <w:t>Документ и отметка проверки</w:t>
            </w:r>
          </w:p>
        </w:tc>
      </w:tr>
      <w:tr w:rsidR="007D3D28">
        <w:trPr>
          <w:cantSplit/>
          <w:jc w:val="center"/>
        </w:trPr>
        <w:tc>
          <w:tcPr>
            <w:tcW w:w="3118" w:type="dxa"/>
            <w:vAlign w:val="center"/>
          </w:tcPr>
          <w:p w:rsidR="007D3D28" w:rsidRDefault="00E00FE6">
            <w:pPr>
              <w:keepNext w:val="0"/>
              <w:spacing w:after="0" w:line="240" w:lineRule="auto"/>
              <w:ind w:firstLine="0"/>
            </w:pPr>
            <w:r>
              <w:rPr>
                <w:rFonts w:eastAsia="Times New Roman" w:cs="Times New Roman"/>
                <w:sz w:val="21"/>
                <w:lang w:val="ru-RU"/>
              </w:rPr>
              <w:t>Неправильная классификация</w:t>
            </w:r>
          </w:p>
        </w:tc>
        <w:tc>
          <w:tcPr>
            <w:tcW w:w="3175" w:type="dxa"/>
            <w:vAlign w:val="center"/>
          </w:tcPr>
          <w:p w:rsidR="007D3D28" w:rsidRDefault="00E00FE6">
            <w:pPr>
              <w:keepNext w:val="0"/>
              <w:spacing w:after="0" w:line="240" w:lineRule="auto"/>
              <w:ind w:firstLine="0"/>
            </w:pPr>
            <w:r>
              <w:rPr>
                <w:rFonts w:eastAsia="Times New Roman" w:cs="Times New Roman"/>
                <w:sz w:val="21"/>
                <w:lang w:val="ru-RU"/>
              </w:rPr>
              <w:t>Определить назначение и срок использования</w:t>
            </w:r>
          </w:p>
        </w:tc>
        <w:tc>
          <w:tcPr>
            <w:tcW w:w="3175" w:type="dxa"/>
            <w:vAlign w:val="center"/>
          </w:tcPr>
          <w:p w:rsidR="007D3D28" w:rsidRDefault="00E00FE6">
            <w:pPr>
              <w:keepNext w:val="0"/>
              <w:spacing w:after="0" w:line="240" w:lineRule="auto"/>
              <w:ind w:firstLine="0"/>
            </w:pPr>
            <w:r>
              <w:rPr>
                <w:rFonts w:eastAsia="Times New Roman" w:cs="Times New Roman"/>
                <w:sz w:val="21"/>
                <w:lang w:val="ru-RU"/>
              </w:rPr>
              <w:t>Учетное заключение</w:t>
            </w:r>
          </w:p>
        </w:tc>
      </w:tr>
    </w:tbl>
    <w:p w:rsidR="007D3D28" w:rsidRDefault="007D3D28">
      <w:pPr>
        <w:spacing w:line="20" w:lineRule="exact"/>
        <w:ind w:firstLine="0"/>
      </w:pPr>
    </w:p>
    <w:p w:rsidR="007D3D28" w:rsidRDefault="00E00FE6">
      <w:pPr>
        <w:jc w:val="both"/>
      </w:pPr>
      <w:r>
        <w:rPr>
          <w:rFonts w:eastAsia="Times New Roman" w:cs="Times New Roman"/>
          <w:lang w:val="ru-RU"/>
        </w:rPr>
        <w:t xml:space="preserve">Последующий анализ выявляет </w:t>
      </w:r>
      <w:r>
        <w:rPr>
          <w:rFonts w:eastAsia="Times New Roman" w:cs="Times New Roman"/>
          <w:lang w:val="ru-RU"/>
        </w:rPr>
        <w:t>необычные признаки: частые исправления реквизитов, платежи перед приемкой, одинаковые счета, однотипные закупки с близкими датами. Признак помогает выбрать проверку, но сам по себе не доказывает нарушение. Вывод формулируется после сопоставления нормы, док</w:t>
      </w:r>
      <w:r>
        <w:rPr>
          <w:rFonts w:eastAsia="Times New Roman" w:cs="Times New Roman"/>
          <w:lang w:val="ru-RU"/>
        </w:rPr>
        <w:t>ументов и фактов.</w:t>
      </w:r>
    </w:p>
    <w:p w:rsidR="007D3D28" w:rsidRDefault="00E00FE6">
      <w:pPr>
        <w:pStyle w:val="1"/>
        <w:keepNext/>
      </w:pPr>
      <w:r>
        <w:rPr>
          <w:rFonts w:ascii="Times New Roman" w:eastAsia="Times New Roman" w:hAnsi="Times New Roman" w:cs="Times New Roman"/>
          <w:lang w:val="ru-RU"/>
        </w:rPr>
        <w:t>Частые ошибки</w:t>
      </w:r>
    </w:p>
    <w:p w:rsidR="007D3D28" w:rsidRDefault="00E00FE6">
      <w:pPr>
        <w:pStyle w:val="a0"/>
        <w:ind w:left="510" w:hanging="170"/>
        <w:jc w:val="both"/>
      </w:pPr>
      <w:r>
        <w:rPr>
          <w:rFonts w:eastAsia="Times New Roman" w:cs="Times New Roman"/>
          <w:lang w:val="ru-RU"/>
        </w:rPr>
        <w:t xml:space="preserve">Считать законную </w:t>
      </w:r>
      <w:r>
        <w:rPr>
          <w:rFonts w:eastAsia="Times New Roman" w:cs="Times New Roman"/>
          <w:lang w:val="ru-RU"/>
        </w:rPr>
        <w:t>процедуру достаточным доказательством фактической поставки.</w:t>
      </w:r>
    </w:p>
    <w:p w:rsidR="007D3D28" w:rsidRDefault="00E00FE6">
      <w:pPr>
        <w:pStyle w:val="a0"/>
        <w:ind w:left="510" w:hanging="170"/>
        <w:jc w:val="both"/>
      </w:pPr>
      <w:r>
        <w:rPr>
          <w:rFonts w:eastAsia="Times New Roman" w:cs="Times New Roman"/>
          <w:lang w:val="ru-RU"/>
        </w:rPr>
        <w:t>Признавать расходом разрешенный аванс до получения ресурса.</w:t>
      </w:r>
    </w:p>
    <w:p w:rsidR="007D3D28" w:rsidRDefault="00E00FE6">
      <w:pPr>
        <w:pStyle w:val="a0"/>
        <w:ind w:left="510" w:hanging="170"/>
        <w:jc w:val="both"/>
      </w:pPr>
      <w:r>
        <w:rPr>
          <w:rFonts w:eastAsia="Times New Roman" w:cs="Times New Roman"/>
          <w:lang w:val="ru-RU"/>
        </w:rPr>
        <w:t>Перечислять остаток без проверки ранее выплаченной суммы.</w:t>
      </w:r>
    </w:p>
    <w:p w:rsidR="007D3D28" w:rsidRDefault="00E00FE6">
      <w:pPr>
        <w:pStyle w:val="a0"/>
        <w:ind w:left="510" w:hanging="170"/>
        <w:jc w:val="both"/>
      </w:pPr>
      <w:r>
        <w:rPr>
          <w:rFonts w:eastAsia="Times New Roman" w:cs="Times New Roman"/>
          <w:lang w:val="ru-RU"/>
        </w:rPr>
        <w:t>Использовать один счет оплаты для всех источников и видов закупок.</w:t>
      </w:r>
    </w:p>
    <w:p w:rsidR="007D3D28" w:rsidRDefault="00E00FE6">
      <w:pPr>
        <w:pStyle w:val="a0"/>
        <w:ind w:left="510" w:hanging="170"/>
        <w:jc w:val="both"/>
      </w:pPr>
      <w:r>
        <w:rPr>
          <w:rFonts w:eastAsia="Times New Roman" w:cs="Times New Roman"/>
          <w:lang w:val="ru-RU"/>
        </w:rPr>
        <w:t>Принимать и</w:t>
      </w:r>
      <w:r>
        <w:rPr>
          <w:rFonts w:eastAsia="Times New Roman" w:cs="Times New Roman"/>
          <w:lang w:val="ru-RU"/>
        </w:rPr>
        <w:t>ндикатор риска за доказанное злоупотребление.</w:t>
      </w:r>
    </w:p>
    <w:p w:rsidR="007D3D28" w:rsidRDefault="00E00FE6">
      <w:pPr>
        <w:pStyle w:val="1"/>
        <w:keepNext/>
      </w:pPr>
      <w:r>
        <w:rPr>
          <w:rFonts w:ascii="Times New Roman" w:eastAsia="Times New Roman" w:hAnsi="Times New Roman" w:cs="Times New Roman"/>
          <w:lang w:val="ru-RU"/>
        </w:rPr>
        <w:t>Вопросы для обсуждения</w:t>
      </w:r>
    </w:p>
    <w:p w:rsidR="007D3D28" w:rsidRDefault="00E00FE6">
      <w:pPr>
        <w:jc w:val="both"/>
      </w:pPr>
      <w:r>
        <w:rPr>
          <w:rFonts w:eastAsia="Times New Roman" w:cs="Times New Roman"/>
          <w:lang w:val="ru-RU"/>
        </w:rPr>
        <w:t>1. Какие стадии закупки не подтверждаются одной накладной?</w:t>
      </w:r>
    </w:p>
    <w:p w:rsidR="007D3D28" w:rsidRDefault="00E00FE6">
      <w:pPr>
        <w:jc w:val="both"/>
      </w:pPr>
      <w:r>
        <w:rPr>
          <w:rFonts w:eastAsia="Times New Roman" w:cs="Times New Roman"/>
          <w:lang w:val="ru-RU"/>
        </w:rPr>
        <w:t>2. Почему закупочный план не заменяет расчет потребности?</w:t>
      </w:r>
    </w:p>
    <w:p w:rsidR="007D3D28" w:rsidRDefault="00E00FE6">
      <w:pPr>
        <w:jc w:val="both"/>
      </w:pPr>
      <w:r>
        <w:rPr>
          <w:rFonts w:eastAsia="Times New Roman" w:cs="Times New Roman"/>
          <w:lang w:val="ru-RU"/>
        </w:rPr>
        <w:t>3. Как отделяются аванс приемка и окончательный расчет?</w:t>
      </w:r>
    </w:p>
    <w:p w:rsidR="007D3D28" w:rsidRDefault="00E00FE6">
      <w:pPr>
        <w:jc w:val="both"/>
      </w:pPr>
      <w:r>
        <w:rPr>
          <w:rFonts w:eastAsia="Times New Roman" w:cs="Times New Roman"/>
          <w:lang w:val="ru-RU"/>
        </w:rPr>
        <w:t>4. Чем банковс</w:t>
      </w:r>
      <w:r>
        <w:rPr>
          <w:rFonts w:eastAsia="Times New Roman" w:cs="Times New Roman"/>
          <w:lang w:val="ru-RU"/>
        </w:rPr>
        <w:t>кая гарантия отличается от денежного обеспечения?</w:t>
      </w:r>
    </w:p>
    <w:p w:rsidR="007D3D28" w:rsidRDefault="00E00FE6">
      <w:pPr>
        <w:jc w:val="both"/>
      </w:pPr>
      <w:r>
        <w:rPr>
          <w:rFonts w:eastAsia="Times New Roman" w:cs="Times New Roman"/>
          <w:lang w:val="ru-RU"/>
        </w:rPr>
        <w:t>5. Почему оплаченные материалы могут оставаться активом?</w:t>
      </w:r>
    </w:p>
    <w:p w:rsidR="007D3D28" w:rsidRDefault="00E00FE6">
      <w:pPr>
        <w:jc w:val="both"/>
      </w:pPr>
      <w:r>
        <w:rPr>
          <w:rFonts w:eastAsia="Times New Roman" w:cs="Times New Roman"/>
          <w:lang w:val="ru-RU"/>
        </w:rPr>
        <w:t>6. Как проверить полезность уже поставленного оборудования?</w:t>
      </w:r>
    </w:p>
    <w:p w:rsidR="007D3D28" w:rsidRDefault="00E00FE6">
      <w:pPr>
        <w:pStyle w:val="1"/>
        <w:keepNext/>
      </w:pPr>
      <w:r>
        <w:rPr>
          <w:rFonts w:ascii="Times New Roman" w:eastAsia="Times New Roman" w:hAnsi="Times New Roman" w:cs="Times New Roman"/>
          <w:lang w:val="ru-RU"/>
        </w:rPr>
        <w:t>Литература и нормативные источники</w:t>
      </w:r>
    </w:p>
    <w:p>
      <w:pPr>
        <w:spacing w:after="40"/>
      </w:pPr>
      <w:r>
        <w:t>НПА приведены в редакциях, действующих на 27 октября 2026 года. МСФО ОС — по материалам IPSASB; даты начала применения отдельных стандартов указаны в тексте.</w:t>
      </w:r>
    </w:p>
    <w:p>
      <w:pPr>
        <w:spacing w:after="40"/>
      </w:pPr>
      <w:r>
        <w:t xml:space="preserve">[Н3] </w:t>
      </w:r>
      <w:hyperlink r:id="rId17">
        <w:r>
          <w:rPr>
            <w:rFonts w:ascii="Times New Roman" w:hAnsi="Times New Roman"/>
            <w:sz w:val="24"/>
          </w:rPr>
          <w:t>Приказ Министра финансов РК от 12 мая 2025 года № 223 «Об утверждении Правил ведения бухгалтерского учета в государственных учреждениях».</w:t>
        </w:r>
      </w:hyperlink>
    </w:p>
    <w:p>
      <w:pPr>
        <w:spacing w:after="40"/>
      </w:pPr>
      <w:r>
        <w:t xml:space="preserve">[Н4] </w:t>
      </w:r>
      <w:hyperlink r:id="rId8">
        <w:r>
          <w:rPr>
            <w:rFonts w:ascii="Times New Roman" w:hAnsi="Times New Roman"/>
            <w:sz w:val="24"/>
          </w:rPr>
          <w:t>Приказ Министра финансов РК от 16 апреля 2025 года № 170 «Об утверждении Плана счетов бухгалтерского учета государственных учреждений».</w:t>
        </w:r>
      </w:hyperlink>
    </w:p>
    <w:p>
      <w:pPr>
        <w:spacing w:after="40"/>
      </w:pPr>
      <w:r>
        <w:t xml:space="preserve">[Н6] </w:t>
      </w:r>
      <w:hyperlink r:id="rId9">
        <w:r>
          <w:rPr>
            <w:rFonts w:ascii="Times New Roman" w:hAnsi="Times New Roman"/>
            <w:sz w:val="24"/>
          </w:rPr>
          <w:t>Приказ Министра финансов РК от 27 июня 2025 года № 328 «Об утверждении процедур казначейского исполнения бюджета и его кассового обслуживания, казначейского учета и мониторинга».</w:t>
        </w:r>
      </w:hyperlink>
    </w:p>
    <w:p>
      <w:pPr>
        <w:spacing w:after="40"/>
      </w:pPr>
      <w:r>
        <w:t xml:space="preserve">[Н7] </w:t>
      </w:r>
      <w:hyperlink r:id="rId10">
        <w:r>
          <w:rPr>
            <w:rFonts w:ascii="Times New Roman" w:hAnsi="Times New Roman"/>
            <w:sz w:val="24"/>
          </w:rPr>
          <w:t>Приказ и.о. Министра финансов РК от 22 апреля 2025 года № 187 «Об утверждении форм бухгалтерской документации для государственных учреждений».</w:t>
        </w:r>
      </w:hyperlink>
    </w:p>
    <w:p>
      <w:pPr>
        <w:spacing w:after="40"/>
      </w:pPr>
      <w:r>
        <w:t xml:space="preserve">[Н10] </w:t>
      </w:r>
      <w:hyperlink r:id="rId11">
        <w:r>
          <w:rPr>
            <w:rFonts w:ascii="Times New Roman" w:hAnsi="Times New Roman"/>
            <w:sz w:val="24"/>
          </w:rPr>
          <w:t>Закон РК от 1 июля 2024 года № 106-VIII «О государственных закупках».</w:t>
        </w:r>
      </w:hyperlink>
    </w:p>
    <w:p>
      <w:pPr>
        <w:spacing w:after="40"/>
      </w:pPr>
      <w:r>
        <w:t xml:space="preserve">[Н11] </w:t>
      </w:r>
      <w:hyperlink r:id="rId12">
        <w:r>
          <w:rPr>
            <w:rFonts w:ascii="Times New Roman" w:hAnsi="Times New Roman"/>
            <w:sz w:val="24"/>
          </w:rPr>
          <w:t>Приказ Министра финансов РК от 9 октября 2024 года № 687 «Об утверждении Правил осуществления государственных закупок».</w:t>
        </w:r>
      </w:hyperlink>
    </w:p>
    <w:p>
      <w:pPr>
        <w:spacing w:after="40"/>
      </w:pPr>
      <w:r>
        <w:t xml:space="preserve">[Н20] </w:t>
      </w:r>
      <w:hyperlink r:id="rId13">
        <w:r>
          <w:rPr>
            <w:rFonts w:ascii="Times New Roman" w:hAnsi="Times New Roman"/>
            <w:sz w:val="24"/>
          </w:rPr>
          <w:t>Приказ Министра финансов РК от 25 ноября 2025 года № 721 о внесении изменений в План счетов № 170, действующих с 1 января 2026 года.</w:t>
        </w:r>
      </w:hyperlink>
    </w:p>
    <w:p>
      <w:pPr>
        <w:spacing w:after="40"/>
      </w:pPr>
      <w:r>
        <w:t xml:space="preserve">[М12] </w:t>
      </w:r>
      <w:hyperlink r:id="rId18">
        <w:r>
          <w:rPr>
            <w:rFonts w:ascii="Times New Roman" w:hAnsi="Times New Roman"/>
            <w:sz w:val="24"/>
          </w:rPr>
          <w:t>МСФО ОС (IPSAS) 12 «Запасы». IPSASB, редакция сборника 2026 года.</w:t>
        </w:r>
      </w:hyperlink>
    </w:p>
    <w:p>
      <w:pPr>
        <w:spacing w:after="40"/>
      </w:pPr>
      <w:r>
        <w:t xml:space="preserve">[М19] </w:t>
      </w:r>
      <w:hyperlink r:id="rId18">
        <w:r>
          <w:rPr>
            <w:rFonts w:ascii="Times New Roman" w:hAnsi="Times New Roman"/>
            <w:sz w:val="24"/>
          </w:rPr>
          <w:t>МСФО ОС (IPSAS) 19 «Оценочные обязательства, условные обязательства и условные активы». IPSASB, редакция сборника 2026 года.</w:t>
        </w:r>
      </w:hyperlink>
    </w:p>
    <w:p>
      <w:pPr>
        <w:spacing w:after="40"/>
      </w:pPr>
      <w:r>
        <w:t xml:space="preserve">[М31] </w:t>
      </w:r>
      <w:hyperlink r:id="rId18">
        <w:r>
          <w:rPr>
            <w:rFonts w:ascii="Times New Roman" w:hAnsi="Times New Roman"/>
            <w:sz w:val="24"/>
          </w:rPr>
          <w:t>МСФО ОС (IPSAS) 31 «Нематериальные активы». IPSASB, редакция сборника 2026 года.</w:t>
        </w:r>
      </w:hyperlink>
    </w:p>
    <w:p>
      <w:pPr>
        <w:spacing w:after="40"/>
      </w:pPr>
      <w:r>
        <w:t xml:space="preserve">[М45] </w:t>
      </w:r>
      <w:hyperlink r:id="rId19">
        <w:r>
          <w:rPr>
            <w:rFonts w:ascii="Times New Roman" w:hAnsi="Times New Roman"/>
            <w:sz w:val="24"/>
          </w:rPr>
          <w:t>МСФО ОС (IPSAS) 45 «Основные средства». IPSASB, редакция сборника 2026 года.</w:t>
        </w:r>
      </w:hyperlink>
    </w:p>
    <w:p>
      <w:pPr>
        <w:spacing w:after="40"/>
      </w:pPr>
      <w:r>
        <w:t>Учебная литература: [Л1] и [Л5] в программе курса.</w:t>
      </w:r>
    </w:p>
    <w:sectPr w:rsidR="007D3D28" w:rsidSect="00034616">
      <w:footerReference w:type="default" r:id="rId14"/>
      <w:pgSz w:w="11906" w:h="16838"/>
      <w:pgMar w:top="1134" w:right="1134" w:bottom="113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FE6" w:rsidRDefault="00E00FE6">
      <w:pPr>
        <w:spacing w:after="0" w:line="240" w:lineRule="auto"/>
      </w:pPr>
      <w:r>
        <w:separator/>
      </w:r>
    </w:p>
  </w:endnote>
  <w:endnote w:type="continuationSeparator" w:id="0">
    <w:p w:rsidR="00E00FE6" w:rsidRDefault="00E00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D28" w:rsidRDefault="00E00FE6">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FE6" w:rsidRDefault="00E00FE6">
      <w:pPr>
        <w:spacing w:after="0" w:line="240" w:lineRule="auto"/>
      </w:pPr>
      <w:r>
        <w:separator/>
      </w:r>
    </w:p>
  </w:footnote>
  <w:footnote w:type="continuationSeparator" w:id="0">
    <w:p w:rsidR="00E00FE6" w:rsidRDefault="00E00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A3067"/>
    <w:rsid w:val="007D3D28"/>
    <w:rsid w:val="00AA1D8D"/>
    <w:rsid w:val="00B47730"/>
    <w:rsid w:val="00CB0664"/>
    <w:rsid w:val="00E00F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38137C7-103F-45CB-9437-8EF17058D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264" w:lineRule="auto"/>
      <w:ind w:firstLine="709"/>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G25E0000170" TargetMode="External"/><Relationship Id="rId13" Type="http://schemas.openxmlformats.org/officeDocument/2006/relationships/hyperlink" Target="https://adilet.zan.kz/rus/docs/G25E00007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rus/docs/V240003523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Z24000001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rus/docs/G25E0000187" TargetMode="External"/><Relationship Id="rId4" Type="http://schemas.openxmlformats.org/officeDocument/2006/relationships/settings" Target="settings.xml"/><Relationship Id="rId9" Type="http://schemas.openxmlformats.org/officeDocument/2006/relationships/hyperlink" Target="https://adilet.zan.kz/rus/docs/G25E0000328" TargetMode="External"/><Relationship Id="rId14" Type="http://schemas.openxmlformats.org/officeDocument/2006/relationships/footer" Target="footer1.xml"/><Relationship Id="rId17" Type="http://schemas.openxmlformats.org/officeDocument/2006/relationships/hyperlink" Target="https://adilet.zan.kz/rus/docs/G25E0000223" TargetMode="External"/><Relationship Id="rId18" Type="http://schemas.openxmlformats.org/officeDocument/2006/relationships/hyperlink" Target="https://www.ipsasb.org/publications/2026-handbook-international-public-sector-accounting-standards-board-pronouncements" TargetMode="External"/><Relationship Id="rId19" Type="http://schemas.openxmlformats.org/officeDocument/2006/relationships/hyperlink" Target="https://www.ipsasb.org/publications/ipsas-45-property-plant-and-equi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C7241-1A59-4C56-9D8C-65E031AB4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Государственные закупки учет и контроль</dc:title>
  <dc:subject>Бухгалтерский учет в бюджетных организациях</dc:subject>
  <dc:creator/>
  <cp:keywords>Казахстан; государственные учреждения; учет; лекции; 2026</cp:keywords>
  <dc:description>generated by python-docx</dc:description>
  <cp:lastModifiedBy>Гульжан Байтикенова</cp:lastModifiedBy>
  <cp:revision>2</cp:revision>
  <dcterms:created xsi:type="dcterms:W3CDTF">2013-12-23T23:15:00Z</dcterms:created>
  <dcterms:modified xsi:type="dcterms:W3CDTF">2026-10-21T11:15:00Z</dcterms:modified>
  <cp:category/>
</cp:coreProperties>
</file>