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96CE4" w:rsidRDefault="008A7A02">
      <w:pPr>
        <w:keepNext/>
        <w:jc w:val="both"/>
      </w:pPr>
      <w:r>
        <w:rPr>
          <w:rFonts w:eastAsia="Times New Roman" w:cs="Times New Roman"/>
          <w:b/>
          <w:lang w:val="ru-RU"/>
        </w:rPr>
        <w:t>ЛЕКЦИЯ 6</w:t>
      </w:r>
    </w:p>
    <w:p w:rsidR="00096CE4" w:rsidRDefault="008A7A02">
      <w:pPr>
        <w:pStyle w:val="aa"/>
        <w:keepNext/>
        <w:spacing w:after="160"/>
      </w:pPr>
      <w:r>
        <w:rPr>
          <w:rFonts w:ascii="Times New Roman" w:eastAsia="Times New Roman" w:hAnsi="Times New Roman" w:cs="Times New Roman"/>
          <w:lang w:val="ru-RU"/>
        </w:rPr>
        <w:t>Учет заработной платы и социальных выплат в бюджетных учреждениях</w:t>
      </w:r>
    </w:p>
    <w:p>
      <w:pPr>
        <w:keepNext w:val="0"/>
        <w:jc w:val="both"/>
      </w:pPr>
      <w:r>
        <w:rPr>
          <w:rFonts w:eastAsia="Times New Roman" w:cs="Times New Roman"/>
          <w:lang w:val="ru-RU"/>
        </w:rPr>
        <w:t>Цель лекции. Объяснить начисление оплаты труда и отпускных, разграничить удержания и расходы работодателя и отразить обязательства перед работниками.</w:t>
      </w:r>
    </w:p>
    <w:p>
      <w:pPr>
        <w:keepNext w:val="0"/>
        <w:jc w:val="both"/>
      </w:pPr>
      <w:r>
        <w:rPr>
          <w:rFonts w:eastAsia="Times New Roman" w:cs="Times New Roman"/>
          <w:lang w:val="ru-RU"/>
        </w:rPr>
        <w:t>План лекции. Кадровые основания; средний заработок и отпуска; налоги и социальные платежи 2026 года; бухгалтерские записи и сверка.</w:t>
      </w:r>
    </w:p>
    <w:p w:rsidR="00096CE4" w:rsidRDefault="008A7A02">
      <w:pPr>
        <w:pStyle w:val="1"/>
        <w:keepNext/>
      </w:pPr>
      <w:r>
        <w:rPr>
          <w:rFonts w:ascii="Times New Roman" w:eastAsia="Times New Roman" w:hAnsi="Times New Roman" w:cs="Times New Roman"/>
          <w:lang w:val="ru-RU"/>
        </w:rPr>
        <w:t>Начисление заработной платы и социальные выплаты</w:t>
      </w:r>
    </w:p>
    <w:p w:rsidR="00096CE4" w:rsidRDefault="008A7A02">
      <w:pPr>
        <w:jc w:val="both"/>
      </w:pPr>
      <w:r>
        <w:rPr>
          <w:rFonts w:eastAsia="Times New Roman" w:cs="Times New Roman"/>
          <w:lang w:val="ru-RU"/>
        </w:rPr>
        <w:t>Учет оплаты труда соединяет кадровые основания, отработанное время, виды начислений, удержания и обязательства работодателя. Сначала определяется, за чт</w:t>
      </w:r>
      <w:r>
        <w:rPr>
          <w:rFonts w:eastAsia="Times New Roman" w:cs="Times New Roman"/>
          <w:lang w:val="ru-RU"/>
        </w:rPr>
        <w:t>о и в каком размере начислен доход. Затем отдельно рассчитываются суммы, удерживаемые из дохода работника, и суммы, которые учреждение платит за свой счет. Если эти группы смешать, будут искажены выплата работнику и расходы учреждения.</w:t>
      </w:r>
    </w:p>
    <w:p w:rsidR="00096CE4" w:rsidRDefault="008A7A02">
      <w:pPr>
        <w:jc w:val="both"/>
      </w:pPr>
      <w:r>
        <w:rPr>
          <w:rFonts w:eastAsia="Times New Roman" w:cs="Times New Roman"/>
          <w:lang w:val="ru-RU"/>
        </w:rPr>
        <w:t xml:space="preserve">В этой лекции общие </w:t>
      </w:r>
      <w:r>
        <w:rPr>
          <w:rFonts w:eastAsia="Times New Roman" w:cs="Times New Roman"/>
          <w:lang w:val="ru-RU"/>
        </w:rPr>
        <w:t>правила объясняются на обычном работнике учреждения по трудовому договору. Государственный служащий, гражданский служащий и работник иной категории не являются взаимозаменяемыми понятиями. Особые основания оплаты, льготы и специальные платежи проверяются п</w:t>
      </w:r>
      <w:r>
        <w:rPr>
          <w:rFonts w:eastAsia="Times New Roman" w:cs="Times New Roman"/>
          <w:lang w:val="ru-RU"/>
        </w:rPr>
        <w:t>о статусу лица. Числовой пример ниже прямо задает применимость перечисленных платежей.</w:t>
      </w:r>
    </w:p>
    <w:p w:rsidR="00096CE4" w:rsidRDefault="008A7A02">
      <w:pPr>
        <w:pStyle w:val="1"/>
        <w:keepNext/>
      </w:pPr>
      <w:r>
        <w:rPr>
          <w:rFonts w:ascii="Times New Roman" w:eastAsia="Times New Roman" w:hAnsi="Times New Roman" w:cs="Times New Roman"/>
          <w:lang w:val="ru-RU"/>
        </w:rPr>
        <w:t>Основания начисления</w:t>
      </w:r>
    </w:p>
    <w:p w:rsidR="00096CE4" w:rsidRDefault="008A7A02">
      <w:pPr>
        <w:jc w:val="both"/>
      </w:pPr>
      <w:r>
        <w:rPr>
          <w:rFonts w:eastAsia="Times New Roman" w:cs="Times New Roman"/>
          <w:lang w:val="ru-RU"/>
        </w:rPr>
        <w:t>Выплата должна быть связана с трудовым договором, должностью, утвержденными условиями оплаты, табелем и предусмотренными распорядительными докумен</w:t>
      </w:r>
      <w:r>
        <w:rPr>
          <w:rFonts w:eastAsia="Times New Roman" w:cs="Times New Roman"/>
          <w:lang w:val="ru-RU"/>
        </w:rPr>
        <w:t>тами. Для гражданских служащих и соответствующих работников бюджетных организаций учитывается действующая система оплаты труда по постановлению № 1193 и применимые отраслевые условия. Нельзя заменять правовое основание суммы общим указанием «деньги в плане</w:t>
      </w:r>
      <w:r>
        <w:rPr>
          <w:rFonts w:eastAsia="Times New Roman" w:cs="Times New Roman"/>
          <w:lang w:val="ru-RU"/>
        </w:rPr>
        <w:t xml:space="preserve"> есть». [Н18]</w:t>
      </w:r>
    </w:p>
    <w:p w:rsidR="00096CE4" w:rsidRDefault="008A7A02">
      <w:pPr>
        <w:jc w:val="both"/>
      </w:pPr>
      <w:r>
        <w:rPr>
          <w:rFonts w:eastAsia="Times New Roman" w:cs="Times New Roman"/>
          <w:b/>
          <w:lang w:val="ru-RU"/>
        </w:rPr>
        <w:t>Оклад</w:t>
      </w:r>
      <w:r>
        <w:rPr>
          <w:rFonts w:eastAsia="Times New Roman" w:cs="Times New Roman"/>
          <w:lang w:val="ru-RU"/>
        </w:rPr>
        <w:t xml:space="preserve"> относится к оплате установленной работы в пределах условий договора. </w:t>
      </w:r>
      <w:r>
        <w:rPr>
          <w:rFonts w:eastAsia="Times New Roman" w:cs="Times New Roman"/>
          <w:b/>
          <w:lang w:val="ru-RU"/>
        </w:rPr>
        <w:t>Доплата</w:t>
      </w:r>
      <w:r>
        <w:rPr>
          <w:rFonts w:eastAsia="Times New Roman" w:cs="Times New Roman"/>
          <w:lang w:val="ru-RU"/>
        </w:rPr>
        <w:t xml:space="preserve"> связана с конкретным основанием: особенностями работы, дополнительными обязанностями или другим предусмотренным обстоятельством. </w:t>
      </w:r>
      <w:r>
        <w:rPr>
          <w:rFonts w:eastAsia="Times New Roman" w:cs="Times New Roman"/>
          <w:b/>
          <w:lang w:val="ru-RU"/>
        </w:rPr>
        <w:t>Премия</w:t>
      </w:r>
      <w:r>
        <w:rPr>
          <w:rFonts w:eastAsia="Times New Roman" w:cs="Times New Roman"/>
          <w:lang w:val="ru-RU"/>
        </w:rPr>
        <w:t xml:space="preserve"> требует соответствующег</w:t>
      </w:r>
      <w:r>
        <w:rPr>
          <w:rFonts w:eastAsia="Times New Roman" w:cs="Times New Roman"/>
          <w:lang w:val="ru-RU"/>
        </w:rPr>
        <w:t xml:space="preserve">о основания и решения. </w:t>
      </w:r>
      <w:r>
        <w:rPr>
          <w:rFonts w:eastAsia="Times New Roman" w:cs="Times New Roman"/>
          <w:b/>
          <w:lang w:val="ru-RU"/>
        </w:rPr>
        <w:t>Компенсационная выплата</w:t>
      </w:r>
      <w:r>
        <w:rPr>
          <w:rFonts w:eastAsia="Times New Roman" w:cs="Times New Roman"/>
          <w:lang w:val="ru-RU"/>
        </w:rPr>
        <w:t xml:space="preserve"> возмещает предусмотренные затраты или условия; ее налоговый режим проверяют отдельно, а не определяют по одному названию.</w:t>
      </w:r>
    </w:p>
    <w:p w:rsidR="00096CE4" w:rsidRDefault="008A7A02">
      <w:pPr>
        <w:jc w:val="both"/>
      </w:pPr>
      <w:r>
        <w:rPr>
          <w:rFonts w:eastAsia="Times New Roman" w:cs="Times New Roman"/>
          <w:lang w:val="ru-RU"/>
        </w:rPr>
        <w:t>При повременной оплате за неполный месяц начисление рассчитывают по фактически отработанным дням или часам по графику. При окладе 300 000 тенге, норме 20 рабочих дней и 18 отработанных днях заработная плата равна 300 000 / 20 × 18 = 270 000. Отпускные и пособия рассчитываются по отдельным правилам, поэтому данная пропорция к ним непосредственно не применяется. [Н22, Н24]</w:t>
      </w:r>
    </w:p>
    <w:p w:rsidR="00096CE4" w:rsidRDefault="008A7A02">
      <w:pPr>
        <w:jc w:val="both"/>
      </w:pPr>
      <w:r>
        <w:rPr>
          <w:rFonts w:eastAsia="Times New Roman" w:cs="Times New Roman"/>
          <w:lang w:val="ru-RU"/>
        </w:rPr>
        <w:t>Документы должны объяснять каждую часть начисления. Если из суммы 340 000 оклад составляет 300 000, а доплата 40 000, у доплаты должны быть основание, период и подтверждение. Повторное начисление из двух документов обнаружива</w:t>
      </w:r>
      <w:r>
        <w:rPr>
          <w:rFonts w:eastAsia="Times New Roman" w:cs="Times New Roman"/>
          <w:lang w:val="ru-RU"/>
        </w:rPr>
        <w:t>ется сопоставлением человека, вида дохода, периода и основания, а не только общей суммы ведомости.</w:t>
      </w:r>
    </w:p>
    <w:p w:rsidR="00096CE4" w:rsidRDefault="008A7A02">
      <w:pPr>
        <w:pStyle w:val="1"/>
        <w:keepNext/>
      </w:pPr>
      <w:r>
        <w:rPr>
          <w:rFonts w:ascii="Times New Roman" w:eastAsia="Times New Roman" w:hAnsi="Times New Roman" w:cs="Times New Roman"/>
          <w:lang w:val="ru-RU"/>
        </w:rPr>
        <w:t>Отпускные пособия и оценка обязательств</w:t>
      </w:r>
    </w:p>
    <w:p w:rsidR="00096CE4" w:rsidRDefault="008A7A02">
      <w:pPr>
        <w:jc w:val="both"/>
      </w:pPr>
      <w:r>
        <w:rPr>
          <w:rFonts w:eastAsia="Times New Roman" w:cs="Times New Roman"/>
          <w:lang w:val="ru-RU"/>
        </w:rPr>
        <w:t>Средняя заработная плата исчисляется по Единым правилам, утвержденным приказом № 908. В общем случае расчетным периодом являются 12 календарных месяцев, предшествующих событию, либо фактически отработанный период, если он меньше. Средний дневной или часовой заработок определяется по учитываемым начислениям и отработанным дням или часам; затем применяется к оплачиваемому времени по установленным правилам. Периоды и выплаты, исключаемые из расчета, проверяются до определения средней величины. [Н22, Н24]</w:t>
      </w:r>
    </w:p>
    <w:p w:rsidR="00096CE4" w:rsidRDefault="008A7A02">
      <w:pPr>
        <w:jc w:val="both"/>
      </w:pPr>
      <w:r>
        <w:rPr>
          <w:rFonts w:eastAsia="Times New Roman" w:cs="Times New Roman"/>
          <w:lang w:val="ru-RU"/>
        </w:rPr>
        <w:t>На отчетную дату проверяют обязательства по неиспользованным отпускам и</w:t>
      </w:r>
      <w:r>
        <w:rPr>
          <w:rFonts w:eastAsia="Times New Roman" w:cs="Times New Roman"/>
          <w:lang w:val="ru-RU"/>
        </w:rPr>
        <w:t xml:space="preserve"> другим предусмотренным выплатам. Факт отсутствия заявления на отпуск не всегда означает отсутствие заработанного права. В учете необходимо отделять обязательство, </w:t>
      </w:r>
      <w:r>
        <w:rPr>
          <w:rFonts w:eastAsia="Times New Roman" w:cs="Times New Roman"/>
          <w:lang w:val="ru-RU"/>
        </w:rPr>
        <w:lastRenderedPageBreak/>
        <w:t>возникшее из уже выполненной работы, от будущей заработной платы за еще не отработанное врем</w:t>
      </w:r>
      <w:r>
        <w:rPr>
          <w:rFonts w:eastAsia="Times New Roman" w:cs="Times New Roman"/>
          <w:lang w:val="ru-RU"/>
        </w:rPr>
        <w:t>я.</w:t>
      </w:r>
    </w:p>
    <w:p w:rsidR="00096CE4" w:rsidRDefault="008A7A02">
      <w:pPr>
        <w:jc w:val="both"/>
      </w:pPr>
      <w:r>
        <w:rPr>
          <w:rFonts w:eastAsia="Times New Roman" w:cs="Times New Roman"/>
          <w:lang w:val="ru-RU"/>
        </w:rPr>
        <w:t>Социальные выплаты могут финансироваться из разных источников и иметь разную экономическую природу. Начисление за счет работодателя, перечисление удержания и выплата из системы социального страхования не должны без анализа объединяться в одну статью зар</w:t>
      </w:r>
      <w:r>
        <w:rPr>
          <w:rFonts w:eastAsia="Times New Roman" w:cs="Times New Roman"/>
          <w:lang w:val="ru-RU"/>
        </w:rPr>
        <w:t>аботной платы. Источник, получатель и основание выплаты определяют отдельно.</w:t>
      </w:r>
    </w:p>
    <w:p>
      <w:pPr>
        <w:pStyle w:val="21"/>
        <w:keepNext/>
      </w:pPr>
      <w:r>
        <w:rPr>
          <w:rFonts w:ascii="Times New Roman" w:hAnsi="Times New Roman"/>
          <w:b/>
          <w:sz w:val="24"/>
        </w:rPr>
        <w:t>Вознаграждения работникам по МСФО ОС 39</w:t>
      </w:r>
    </w:p>
    <w:p>
      <w:pPr>
        <w:keepNext w:val="0"/>
        <w:jc w:val="both"/>
      </w:pPr>
      <w:r>
        <w:rPr>
          <w:rFonts w:eastAsia="Times New Roman" w:cs="Times New Roman"/>
          <w:lang w:val="ru-RU"/>
        </w:rPr>
        <w:t>МСФО ОС 39 связывает признание вознаграждения с услугами, уже оказанными работником. Краткосрочное вознаграждение отражается как расход и обязательство в недисконтированной сумме, ожидаемой к выплате; суммы, включаемые в стоимость другого актива, учитываются в соответствии с соответствующим стандартом. Накопляемые оплачиваемые отсутствия признаются по мере оказания труда, увеличивающего право на будущий отпуск. [М39]</w:t>
      </w:r>
    </w:p>
    <w:p>
      <w:pPr>
        <w:keepNext w:val="0"/>
        <w:jc w:val="both"/>
      </w:pPr>
      <w:r>
        <w:rPr>
          <w:rFonts w:eastAsia="Times New Roman" w:cs="Times New Roman"/>
          <w:lang w:val="ru-RU"/>
        </w:rPr>
        <w:t>При обязательстве по накопленным отпускам 1 000 тыс. тенге на начало года, начисленных за год правах 600 и использованных правах на 450 остаток до переоценки составит 1 150. Если уточнение заработка и ожидаемого использования требует дополнительно 50, итоговая оценка равна 1 200. Использование ранее признанного обязательства не должно приводить к повторному признанию того же расхода. Национальный расчет выполняется с учетом Правил № 223 и Учетной политики № 191. [Н3, Н5; М39]</w:t>
      </w:r>
    </w:p>
    <w:p>
      <w:pPr>
        <w:keepNext w:val="0"/>
        <w:jc w:val="both"/>
      </w:pPr>
      <w:r>
        <w:rPr>
          <w:rFonts w:eastAsia="Times New Roman" w:cs="Times New Roman"/>
          <w:lang w:val="ru-RU"/>
        </w:rPr>
        <w:t>Вознаграждения после окончания трудовой деятельности анализируют по характеру пенсионного плана. Для плана с установленными взносами признается обязательство по причитающемуся взносу; для плана с установленными выплатами требуется оценка обязательства по установленной стандартом модели. Сам факт перечисления учреждением ОПВР не является основанием признавать на его балансе все будущие государственные пенсионные выплаты работнику. [Н21; М39]</w:t>
      </w:r>
    </w:p>
    <w:p w:rsidR="00096CE4" w:rsidRDefault="008A7A02">
      <w:pPr>
        <w:pStyle w:val="1"/>
        <w:keepNext/>
      </w:pPr>
      <w:r>
        <w:rPr>
          <w:rFonts w:ascii="Times New Roman" w:eastAsia="Times New Roman" w:hAnsi="Times New Roman" w:cs="Times New Roman"/>
          <w:lang w:val="ru-RU"/>
        </w:rPr>
        <w:t>Налоги социальные платежи и расчет</w:t>
      </w:r>
    </w:p>
    <w:p w:rsidR="00096CE4" w:rsidRDefault="008A7A02">
      <w:pPr>
        <w:pStyle w:val="1"/>
        <w:keepNext/>
      </w:pPr>
      <w:r>
        <w:rPr>
          <w:rFonts w:ascii="Times New Roman" w:eastAsia="Times New Roman" w:hAnsi="Times New Roman" w:cs="Times New Roman"/>
          <w:lang w:val="ru-RU"/>
        </w:rPr>
        <w:t>Разделение удержаний и начислений работодателя</w:t>
      </w:r>
    </w:p>
    <w:p w:rsidR="00096CE4" w:rsidRDefault="008A7A02">
      <w:pPr>
        <w:jc w:val="both"/>
      </w:pPr>
      <w:r>
        <w:rPr>
          <w:rFonts w:eastAsia="Times New Roman" w:cs="Times New Roman"/>
          <w:b/>
          <w:lang w:val="ru-RU"/>
        </w:rPr>
        <w:t>Удержания работника</w:t>
      </w:r>
      <w:r>
        <w:rPr>
          <w:rFonts w:eastAsia="Times New Roman" w:cs="Times New Roman"/>
          <w:lang w:val="ru-RU"/>
        </w:rPr>
        <w:t xml:space="preserve"> уменьшают сумму к выдаче, но не уменьшают уже начисленный валовой до</w:t>
      </w:r>
      <w:r>
        <w:rPr>
          <w:rFonts w:eastAsia="Times New Roman" w:cs="Times New Roman"/>
          <w:lang w:val="ru-RU"/>
        </w:rPr>
        <w:t xml:space="preserve">ход в учете. </w:t>
      </w:r>
      <w:r>
        <w:rPr>
          <w:rFonts w:eastAsia="Times New Roman" w:cs="Times New Roman"/>
          <w:b/>
          <w:lang w:val="ru-RU"/>
        </w:rPr>
        <w:t>Начисления работодателя</w:t>
      </w:r>
      <w:r>
        <w:rPr>
          <w:rFonts w:eastAsia="Times New Roman" w:cs="Times New Roman"/>
          <w:lang w:val="ru-RU"/>
        </w:rPr>
        <w:t xml:space="preserve"> увеличивают расходы учреждения сверх валовой зарплаты. Например, пенсионный взнос работодателя нельзя удерживать из заработной платы вместо собственного обязательства учреждения.</w:t>
      </w:r>
    </w:p>
    <w:p w:rsidR="00096CE4" w:rsidRDefault="008A7A02">
      <w:pPr>
        <w:jc w:val="both"/>
      </w:pPr>
      <w:r>
        <w:rPr>
          <w:rFonts w:eastAsia="Times New Roman" w:cs="Times New Roman"/>
          <w:lang w:val="ru-RU"/>
        </w:rPr>
        <w:t>В 2026 году для работника, подлежащего соответствующим платежам, применяются ОПВ 10%, ВОСМС 2%, ОПВР 3,5%, социальные отчисления 5% и отчисления работодателя на ОСМС 3%. Общая ставка социального налога — 6%; исчисленная сумма не уменьшается на СО. Правовую основу составляют Налоговый и Социальный кодексы и Закон об ОСМС; разъяснения государственных органов используются для применения этих норм. [Н13–Н15, Н21, Н23]</w:t>
      </w:r>
    </w:p>
    <w:tbl>
      <w:tblPr>
        <w:tblW w:w="0" w:type="auto"/>
        <w:jc w:val="center"/>
        <w:tblBorders>
          <w:top w:val="single" w:sz="4" w:space="0" w:color="D9D9D9"/>
          <w:left w:val="single" w:sz="4" w:space="0" w:color="D9D9D9"/>
          <w:bottom w:val="single" w:sz="4" w:space="0" w:color="D9D9D9"/>
          <w:right w:val="single" w:sz="4" w:space="0" w:color="D9D9D9"/>
          <w:insideH w:val="single" w:sz="4" w:space="0" w:color="D9D9D9"/>
          <w:insideV w:val="single" w:sz="4" w:space="0" w:color="D9D9D9"/>
        </w:tblBorders>
        <w:tblLayout w:type="fixed"/>
        <w:tblCellMar>
          <w:top w:w="65" w:type="dxa"/>
          <w:left w:w="90" w:type="dxa"/>
          <w:bottom w:w="65" w:type="dxa"/>
          <w:right w:w="90" w:type="dxa"/>
        </w:tblCellMar>
        <w:tblLook w:val="04A0" w:firstRow="1" w:lastRow="0" w:firstColumn="1" w:lastColumn="0" w:noHBand="0" w:noVBand="1"/>
      </w:tblPr>
      <w:tblGrid>
        <w:gridCol w:w="2438"/>
        <w:gridCol w:w="2098"/>
        <w:gridCol w:w="1417"/>
        <w:gridCol w:w="3515"/>
      </w:tblGrid>
      <w:tr w:rsidR="00096CE4">
        <w:trPr>
          <w:cantSplit/>
          <w:tblHeader/>
          <w:jc w:val="center"/>
        </w:trPr>
        <w:tc>
          <w:tcPr>
            <w:tcW w:w="2438" w:type="dxa"/>
            <w:shd w:val="clear" w:color="auto" w:fill="E8EFF5"/>
            <w:vAlign w:val="center"/>
          </w:tcPr>
          <w:p w:rsidR="00096CE4" w:rsidRDefault="008A7A02">
            <w:pPr>
              <w:keepNext/>
              <w:spacing w:after="0" w:line="240" w:lineRule="auto"/>
              <w:ind w:firstLine="0"/>
            </w:pPr>
            <w:r>
              <w:rPr>
                <w:rFonts w:eastAsia="Times New Roman" w:cs="Times New Roman"/>
                <w:b/>
                <w:sz w:val="21"/>
                <w:lang w:val="ru-RU"/>
              </w:rPr>
              <w:t>Платеж</w:t>
            </w:r>
          </w:p>
        </w:tc>
        <w:tc>
          <w:tcPr>
            <w:tcW w:w="2098" w:type="dxa"/>
            <w:shd w:val="clear" w:color="auto" w:fill="E8EFF5"/>
            <w:vAlign w:val="center"/>
          </w:tcPr>
          <w:p w:rsidR="00096CE4" w:rsidRDefault="008A7A02">
            <w:pPr>
              <w:keepNext/>
              <w:spacing w:after="0" w:line="240" w:lineRule="auto"/>
              <w:ind w:firstLine="0"/>
              <w:jc w:val="center"/>
            </w:pPr>
            <w:r>
              <w:rPr>
                <w:rFonts w:eastAsia="Times New Roman" w:cs="Times New Roman"/>
                <w:b/>
                <w:sz w:val="21"/>
                <w:lang w:val="ru-RU"/>
              </w:rPr>
              <w:t>За чей счет</w:t>
            </w:r>
          </w:p>
        </w:tc>
        <w:tc>
          <w:tcPr>
            <w:tcW w:w="1417" w:type="dxa"/>
            <w:shd w:val="clear" w:color="auto" w:fill="E8EFF5"/>
            <w:vAlign w:val="center"/>
          </w:tcPr>
          <w:p w:rsidR="00096CE4" w:rsidRDefault="008A7A02">
            <w:pPr>
              <w:keepNext/>
              <w:spacing w:after="0" w:line="240" w:lineRule="auto"/>
              <w:ind w:firstLine="0"/>
              <w:jc w:val="center"/>
            </w:pPr>
            <w:r>
              <w:rPr>
                <w:rFonts w:eastAsia="Times New Roman" w:cs="Times New Roman"/>
                <w:b/>
                <w:sz w:val="21"/>
                <w:lang w:val="ru-RU"/>
              </w:rPr>
              <w:t>Ставка</w:t>
            </w:r>
          </w:p>
        </w:tc>
        <w:tc>
          <w:tcPr>
            <w:tcW w:w="3515" w:type="dxa"/>
            <w:shd w:val="clear" w:color="auto" w:fill="E8EFF5"/>
            <w:vAlign w:val="center"/>
          </w:tcPr>
          <w:p w:rsidR="00096CE4" w:rsidRDefault="008A7A02">
            <w:pPr>
              <w:keepNext/>
              <w:spacing w:after="0" w:line="240" w:lineRule="auto"/>
              <w:ind w:firstLine="0"/>
            </w:pPr>
            <w:r>
              <w:rPr>
                <w:rFonts w:eastAsia="Times New Roman" w:cs="Times New Roman"/>
                <w:b/>
                <w:sz w:val="21"/>
                <w:lang w:val="ru-RU"/>
              </w:rPr>
              <w:t>Принцип расчета</w:t>
            </w:r>
          </w:p>
        </w:tc>
      </w:tr>
      <w:tr w:rsidR="00096CE4">
        <w:trPr>
          <w:cantSplit/>
          <w:jc w:val="center"/>
        </w:trPr>
        <w:tc>
          <w:tcPr>
            <w:tcW w:w="2438" w:type="dxa"/>
            <w:vAlign w:val="center"/>
          </w:tcPr>
          <w:p w:rsidR="00096CE4" w:rsidRDefault="008A7A02">
            <w:pPr>
              <w:keepNext/>
              <w:spacing w:after="0" w:line="240" w:lineRule="auto"/>
              <w:ind w:firstLine="0"/>
            </w:pPr>
            <w:r>
              <w:rPr>
                <w:rFonts w:eastAsia="Times New Roman" w:cs="Times New Roman"/>
                <w:sz w:val="21"/>
                <w:lang w:val="ru-RU"/>
              </w:rPr>
              <w:t>ОПВ</w:t>
            </w:r>
          </w:p>
        </w:tc>
        <w:tc>
          <w:tcPr>
            <w:tcW w:w="2098" w:type="dxa"/>
            <w:vAlign w:val="center"/>
          </w:tcPr>
          <w:p w:rsidR="00096CE4" w:rsidRDefault="008A7A02">
            <w:pPr>
              <w:keepNext/>
              <w:spacing w:after="0" w:line="240" w:lineRule="auto"/>
              <w:ind w:firstLine="0"/>
              <w:jc w:val="center"/>
            </w:pPr>
            <w:r>
              <w:rPr>
                <w:rFonts w:eastAsia="Times New Roman" w:cs="Times New Roman"/>
                <w:sz w:val="21"/>
                <w:lang w:val="ru-RU"/>
              </w:rPr>
              <w:t>Работник</w:t>
            </w:r>
          </w:p>
        </w:tc>
        <w:tc>
          <w:tcPr>
            <w:tcW w:w="1417" w:type="dxa"/>
            <w:vAlign w:val="center"/>
          </w:tcPr>
          <w:p w:rsidR="00096CE4" w:rsidRDefault="008A7A02">
            <w:pPr>
              <w:keepNext/>
              <w:spacing w:after="0" w:line="240" w:lineRule="auto"/>
              <w:ind w:firstLine="0"/>
              <w:jc w:val="center"/>
            </w:pPr>
            <w:r>
              <w:rPr>
                <w:rFonts w:eastAsia="Times New Roman" w:cs="Times New Roman"/>
                <w:sz w:val="21"/>
                <w:lang w:val="ru-RU"/>
              </w:rPr>
              <w:t>10%</w:t>
            </w:r>
          </w:p>
        </w:tc>
        <w:tc>
          <w:tcPr>
            <w:tcW w:w="3515" w:type="dxa"/>
            <w:vAlign w:val="center"/>
          </w:tcPr>
          <w:p w:rsidR="00096CE4" w:rsidRDefault="008A7A02">
            <w:pPr>
              <w:keepNext/>
              <w:spacing w:after="0" w:line="240" w:lineRule="auto"/>
              <w:ind w:firstLine="0"/>
            </w:pPr>
            <w:r>
              <w:rPr>
                <w:rFonts w:eastAsia="Times New Roman" w:cs="Times New Roman"/>
                <w:sz w:val="21"/>
                <w:lang w:val="ru-RU"/>
              </w:rPr>
              <w:t>От установленного объекта с учетом ограничений</w:t>
            </w:r>
          </w:p>
        </w:tc>
      </w:tr>
      <w:tr w:rsidR="00096CE4">
        <w:trPr>
          <w:cantSplit/>
          <w:jc w:val="center"/>
        </w:trPr>
        <w:tc>
          <w:tcPr>
            <w:tcW w:w="2438" w:type="dxa"/>
            <w:vAlign w:val="center"/>
          </w:tcPr>
          <w:p w:rsidR="00096CE4" w:rsidRDefault="008A7A02">
            <w:pPr>
              <w:keepNext/>
              <w:spacing w:after="0" w:line="240" w:lineRule="auto"/>
              <w:ind w:firstLine="0"/>
            </w:pPr>
            <w:r>
              <w:rPr>
                <w:rFonts w:eastAsia="Times New Roman" w:cs="Times New Roman"/>
                <w:sz w:val="21"/>
                <w:lang w:val="ru-RU"/>
              </w:rPr>
              <w:t>ВОСМС</w:t>
            </w:r>
          </w:p>
        </w:tc>
        <w:tc>
          <w:tcPr>
            <w:tcW w:w="2098" w:type="dxa"/>
            <w:vAlign w:val="center"/>
          </w:tcPr>
          <w:p w:rsidR="00096CE4" w:rsidRDefault="008A7A02">
            <w:pPr>
              <w:keepNext/>
              <w:spacing w:after="0" w:line="240" w:lineRule="auto"/>
              <w:ind w:firstLine="0"/>
              <w:jc w:val="center"/>
            </w:pPr>
            <w:r>
              <w:rPr>
                <w:rFonts w:eastAsia="Times New Roman" w:cs="Times New Roman"/>
                <w:sz w:val="21"/>
                <w:lang w:val="ru-RU"/>
              </w:rPr>
              <w:t>Работник</w:t>
            </w:r>
          </w:p>
        </w:tc>
        <w:tc>
          <w:tcPr>
            <w:tcW w:w="1417" w:type="dxa"/>
            <w:vAlign w:val="center"/>
          </w:tcPr>
          <w:p w:rsidR="00096CE4" w:rsidRDefault="008A7A02">
            <w:pPr>
              <w:keepNext/>
              <w:spacing w:after="0" w:line="240" w:lineRule="auto"/>
              <w:ind w:firstLine="0"/>
              <w:jc w:val="center"/>
            </w:pPr>
            <w:r>
              <w:rPr>
                <w:rFonts w:eastAsia="Times New Roman" w:cs="Times New Roman"/>
                <w:sz w:val="21"/>
                <w:lang w:val="ru-RU"/>
              </w:rPr>
              <w:t>2%</w:t>
            </w:r>
          </w:p>
        </w:tc>
        <w:tc>
          <w:tcPr>
            <w:tcW w:w="3515" w:type="dxa"/>
            <w:vAlign w:val="center"/>
          </w:tcPr>
          <w:p w:rsidR="00096CE4" w:rsidRDefault="008A7A02">
            <w:pPr>
              <w:keepNext/>
              <w:spacing w:after="0" w:line="240" w:lineRule="auto"/>
              <w:ind w:firstLine="0"/>
            </w:pPr>
            <w:r>
              <w:rPr>
                <w:rFonts w:eastAsia="Times New Roman" w:cs="Times New Roman"/>
                <w:sz w:val="21"/>
                <w:lang w:val="ru-RU"/>
              </w:rPr>
              <w:t>От установленной базы медицинского страхования</w:t>
            </w:r>
          </w:p>
        </w:tc>
      </w:tr>
      <w:tr w:rsidR="00096CE4">
        <w:trPr>
          <w:cantSplit/>
          <w:jc w:val="center"/>
        </w:trPr>
        <w:tc>
          <w:tcPr>
            <w:tcW w:w="2438" w:type="dxa"/>
            <w:vAlign w:val="center"/>
          </w:tcPr>
          <w:p w:rsidR="00096CE4" w:rsidRDefault="008A7A02">
            <w:pPr>
              <w:keepNext/>
              <w:spacing w:after="0" w:line="240" w:lineRule="auto"/>
              <w:ind w:firstLine="0"/>
            </w:pPr>
            <w:r>
              <w:rPr>
                <w:rFonts w:eastAsia="Times New Roman" w:cs="Times New Roman"/>
                <w:sz w:val="21"/>
                <w:lang w:val="ru-RU"/>
              </w:rPr>
              <w:t>ИПН</w:t>
            </w:r>
          </w:p>
        </w:tc>
        <w:tc>
          <w:tcPr>
            <w:tcW w:w="2098" w:type="dxa"/>
            <w:vAlign w:val="center"/>
          </w:tcPr>
          <w:p w:rsidR="00096CE4" w:rsidRDefault="008A7A02">
            <w:pPr>
              <w:keepNext/>
              <w:spacing w:after="0" w:line="240" w:lineRule="auto"/>
              <w:ind w:firstLine="0"/>
              <w:jc w:val="center"/>
            </w:pPr>
            <w:r>
              <w:rPr>
                <w:rFonts w:eastAsia="Times New Roman" w:cs="Times New Roman"/>
                <w:sz w:val="21"/>
                <w:lang w:val="ru-RU"/>
              </w:rPr>
              <w:t>Работник</w:t>
            </w:r>
          </w:p>
        </w:tc>
        <w:tc>
          <w:tcPr>
            <w:tcW w:w="1417" w:type="dxa"/>
            <w:vAlign w:val="center"/>
          </w:tcPr>
          <w:p w:rsidR="00096CE4" w:rsidRDefault="008A7A02">
            <w:pPr>
              <w:keepNext/>
              <w:spacing w:after="0" w:line="240" w:lineRule="auto"/>
              <w:ind w:firstLine="0"/>
              <w:jc w:val="center"/>
            </w:pPr>
            <w:r>
              <w:rPr>
                <w:rFonts w:eastAsia="Times New Roman" w:cs="Times New Roman"/>
                <w:sz w:val="21"/>
                <w:lang w:val="ru-RU"/>
              </w:rPr>
              <w:t>10% и 15%</w:t>
            </w:r>
          </w:p>
        </w:tc>
        <w:tc>
          <w:tcPr>
            <w:tcW w:w="3515" w:type="dxa"/>
            <w:vAlign w:val="center"/>
          </w:tcPr>
          <w:p w:rsidR="00096CE4" w:rsidRDefault="008A7A02">
            <w:pPr>
              <w:keepNext/>
              <w:spacing w:after="0" w:line="240" w:lineRule="auto"/>
              <w:ind w:firstLine="0"/>
            </w:pPr>
            <w:r>
              <w:rPr>
                <w:rFonts w:eastAsia="Times New Roman" w:cs="Times New Roman"/>
                <w:sz w:val="21"/>
                <w:lang w:val="ru-RU"/>
              </w:rPr>
              <w:t xml:space="preserve">От облагаемого </w:t>
            </w:r>
            <w:r>
              <w:rPr>
                <w:rFonts w:eastAsia="Times New Roman" w:cs="Times New Roman"/>
                <w:sz w:val="21"/>
                <w:lang w:val="ru-RU"/>
              </w:rPr>
              <w:t>дохода после допустимых вычетов по шкале</w:t>
            </w:r>
          </w:p>
        </w:tc>
      </w:tr>
      <w:tr w:rsidR="00096CE4">
        <w:trPr>
          <w:cantSplit/>
          <w:jc w:val="center"/>
        </w:trPr>
        <w:tc>
          <w:tcPr>
            <w:tcW w:w="2438" w:type="dxa"/>
            <w:vAlign w:val="center"/>
          </w:tcPr>
          <w:p w:rsidR="00096CE4" w:rsidRDefault="008A7A02">
            <w:pPr>
              <w:keepNext/>
              <w:spacing w:after="0" w:line="240" w:lineRule="auto"/>
              <w:ind w:firstLine="0"/>
            </w:pPr>
            <w:r>
              <w:rPr>
                <w:rFonts w:eastAsia="Times New Roman" w:cs="Times New Roman"/>
                <w:sz w:val="21"/>
                <w:lang w:val="ru-RU"/>
              </w:rPr>
              <w:t>ОПВР</w:t>
            </w:r>
          </w:p>
        </w:tc>
        <w:tc>
          <w:tcPr>
            <w:tcW w:w="2098" w:type="dxa"/>
            <w:vAlign w:val="center"/>
          </w:tcPr>
          <w:p w:rsidR="00096CE4" w:rsidRDefault="008A7A02">
            <w:pPr>
              <w:keepNext/>
              <w:spacing w:after="0" w:line="240" w:lineRule="auto"/>
              <w:ind w:firstLine="0"/>
            </w:pPr>
            <w:r>
              <w:rPr>
                <w:rFonts w:eastAsia="Times New Roman" w:cs="Times New Roman"/>
                <w:sz w:val="21"/>
                <w:lang w:val="ru-RU"/>
              </w:rPr>
              <w:t>Работодатель</w:t>
            </w:r>
          </w:p>
        </w:tc>
        <w:tc>
          <w:tcPr>
            <w:tcW w:w="1417" w:type="dxa"/>
            <w:vAlign w:val="center"/>
          </w:tcPr>
          <w:p w:rsidR="00096CE4" w:rsidRDefault="008A7A02">
            <w:pPr>
              <w:keepNext/>
              <w:spacing w:after="0" w:line="240" w:lineRule="auto"/>
              <w:ind w:firstLine="0"/>
              <w:jc w:val="center"/>
            </w:pPr>
            <w:r>
              <w:rPr>
                <w:rFonts w:eastAsia="Times New Roman" w:cs="Times New Roman"/>
                <w:sz w:val="21"/>
                <w:lang w:val="ru-RU"/>
              </w:rPr>
              <w:t>3,5%</w:t>
            </w:r>
          </w:p>
        </w:tc>
        <w:tc>
          <w:tcPr>
            <w:tcW w:w="3515" w:type="dxa"/>
            <w:vAlign w:val="center"/>
          </w:tcPr>
          <w:p w:rsidR="00096CE4" w:rsidRDefault="008A7A02">
            <w:pPr>
              <w:keepNext/>
              <w:spacing w:after="0" w:line="240" w:lineRule="auto"/>
              <w:ind w:firstLine="0"/>
            </w:pPr>
            <w:r>
              <w:rPr>
                <w:rFonts w:eastAsia="Times New Roman" w:cs="Times New Roman"/>
                <w:sz w:val="21"/>
                <w:lang w:val="ru-RU"/>
              </w:rPr>
              <w:t>При наличии обязанности по данному работнику</w:t>
            </w:r>
          </w:p>
        </w:tc>
      </w:tr>
      <w:tr w:rsidR="00096CE4">
        <w:trPr>
          <w:cantSplit/>
          <w:jc w:val="center"/>
        </w:trPr>
        <w:tc>
          <w:tcPr>
            <w:tcW w:w="2438" w:type="dxa"/>
            <w:vAlign w:val="center"/>
          </w:tcPr>
          <w:p w:rsidR="00096CE4" w:rsidRDefault="008A7A02">
            <w:pPr>
              <w:keepNext/>
              <w:spacing w:after="0" w:line="240" w:lineRule="auto"/>
              <w:ind w:firstLine="0"/>
            </w:pPr>
            <w:r>
              <w:rPr>
                <w:rFonts w:eastAsia="Times New Roman" w:cs="Times New Roman"/>
                <w:sz w:val="21"/>
                <w:lang w:val="ru-RU"/>
              </w:rPr>
              <w:t>Социальные отчисления СО</w:t>
            </w:r>
          </w:p>
        </w:tc>
        <w:tc>
          <w:tcPr>
            <w:tcW w:w="2098" w:type="dxa"/>
            <w:vAlign w:val="center"/>
          </w:tcPr>
          <w:p w:rsidR="00096CE4" w:rsidRDefault="008A7A02">
            <w:pPr>
              <w:keepNext/>
              <w:spacing w:after="0" w:line="240" w:lineRule="auto"/>
              <w:ind w:firstLine="0"/>
            </w:pPr>
            <w:r>
              <w:rPr>
                <w:rFonts w:eastAsia="Times New Roman" w:cs="Times New Roman"/>
                <w:sz w:val="21"/>
                <w:lang w:val="ru-RU"/>
              </w:rPr>
              <w:t>Работодатель</w:t>
            </w:r>
          </w:p>
        </w:tc>
        <w:tc>
          <w:tcPr>
            <w:tcW w:w="1417" w:type="dxa"/>
            <w:vAlign w:val="center"/>
          </w:tcPr>
          <w:p w:rsidR="00096CE4" w:rsidRDefault="008A7A02">
            <w:pPr>
              <w:keepNext/>
              <w:spacing w:after="0" w:line="240" w:lineRule="auto"/>
              <w:ind w:firstLine="0"/>
              <w:jc w:val="center"/>
            </w:pPr>
            <w:r>
              <w:rPr>
                <w:rFonts w:eastAsia="Times New Roman" w:cs="Times New Roman"/>
                <w:sz w:val="21"/>
                <w:lang w:val="ru-RU"/>
              </w:rPr>
              <w:t>5%</w:t>
            </w:r>
          </w:p>
        </w:tc>
        <w:tc>
          <w:tcPr>
            <w:tcW w:w="3515" w:type="dxa"/>
            <w:vAlign w:val="center"/>
          </w:tcPr>
          <w:p w:rsidR="00096CE4" w:rsidRDefault="008A7A02">
            <w:pPr>
              <w:keepNext/>
              <w:spacing w:after="0" w:line="240" w:lineRule="auto"/>
              <w:ind w:firstLine="0"/>
            </w:pPr>
            <w:r>
              <w:rPr>
                <w:rFonts w:eastAsia="Times New Roman" w:cs="Times New Roman"/>
                <w:sz w:val="21"/>
                <w:lang w:val="ru-RU"/>
              </w:rPr>
              <w:t>От установленного объекта с учетом ОПВ и пределов</w:t>
            </w:r>
          </w:p>
        </w:tc>
      </w:tr>
      <w:tr w:rsidR="00096CE4">
        <w:trPr>
          <w:cantSplit/>
          <w:jc w:val="center"/>
        </w:trPr>
        <w:tc>
          <w:tcPr>
            <w:tcW w:w="2438" w:type="dxa"/>
            <w:vAlign w:val="center"/>
          </w:tcPr>
          <w:p w:rsidR="00096CE4" w:rsidRDefault="008A7A02">
            <w:pPr>
              <w:keepNext/>
              <w:spacing w:after="0" w:line="240" w:lineRule="auto"/>
              <w:ind w:firstLine="0"/>
            </w:pPr>
            <w:r>
              <w:rPr>
                <w:rFonts w:eastAsia="Times New Roman" w:cs="Times New Roman"/>
                <w:sz w:val="21"/>
                <w:lang w:val="ru-RU"/>
              </w:rPr>
              <w:t>Отчисления на ОСМС</w:t>
            </w:r>
          </w:p>
        </w:tc>
        <w:tc>
          <w:tcPr>
            <w:tcW w:w="2098" w:type="dxa"/>
            <w:vAlign w:val="center"/>
          </w:tcPr>
          <w:p w:rsidR="00096CE4" w:rsidRDefault="008A7A02">
            <w:pPr>
              <w:keepNext/>
              <w:spacing w:after="0" w:line="240" w:lineRule="auto"/>
              <w:ind w:firstLine="0"/>
            </w:pPr>
            <w:r>
              <w:rPr>
                <w:rFonts w:eastAsia="Times New Roman" w:cs="Times New Roman"/>
                <w:sz w:val="21"/>
                <w:lang w:val="ru-RU"/>
              </w:rPr>
              <w:t>Работодатель</w:t>
            </w:r>
          </w:p>
        </w:tc>
        <w:tc>
          <w:tcPr>
            <w:tcW w:w="1417" w:type="dxa"/>
            <w:vAlign w:val="center"/>
          </w:tcPr>
          <w:p w:rsidR="00096CE4" w:rsidRDefault="008A7A02">
            <w:pPr>
              <w:keepNext/>
              <w:spacing w:after="0" w:line="240" w:lineRule="auto"/>
              <w:ind w:firstLine="0"/>
              <w:jc w:val="center"/>
            </w:pPr>
            <w:r>
              <w:rPr>
                <w:rFonts w:eastAsia="Times New Roman" w:cs="Times New Roman"/>
                <w:sz w:val="21"/>
                <w:lang w:val="ru-RU"/>
              </w:rPr>
              <w:t>3%</w:t>
            </w:r>
          </w:p>
        </w:tc>
        <w:tc>
          <w:tcPr>
            <w:tcW w:w="3515" w:type="dxa"/>
            <w:vAlign w:val="center"/>
          </w:tcPr>
          <w:p w:rsidR="00096CE4" w:rsidRDefault="008A7A02">
            <w:pPr>
              <w:keepNext/>
              <w:spacing w:after="0" w:line="240" w:lineRule="auto"/>
              <w:ind w:firstLine="0"/>
            </w:pPr>
            <w:r>
              <w:rPr>
                <w:rFonts w:eastAsia="Times New Roman" w:cs="Times New Roman"/>
                <w:sz w:val="21"/>
                <w:lang w:val="ru-RU"/>
              </w:rPr>
              <w:t xml:space="preserve">От установленной </w:t>
            </w:r>
            <w:r>
              <w:rPr>
                <w:rFonts w:eastAsia="Times New Roman" w:cs="Times New Roman"/>
                <w:sz w:val="21"/>
                <w:lang w:val="ru-RU"/>
              </w:rPr>
              <w:t>базы работодателя</w:t>
            </w:r>
          </w:p>
        </w:tc>
      </w:tr>
      <w:tr w:rsidR="00096CE4">
        <w:trPr>
          <w:cantSplit/>
          <w:jc w:val="center"/>
        </w:trPr>
        <w:tc>
          <w:tcPr>
            <w:tcW w:w="2438" w:type="dxa"/>
            <w:vAlign w:val="center"/>
          </w:tcPr>
          <w:p w:rsidR="00096CE4" w:rsidRDefault="008A7A02">
            <w:pPr>
              <w:keepNext w:val="0"/>
              <w:spacing w:after="0" w:line="240" w:lineRule="auto"/>
              <w:ind w:firstLine="0"/>
            </w:pPr>
            <w:r>
              <w:rPr>
                <w:rFonts w:eastAsia="Times New Roman" w:cs="Times New Roman"/>
                <w:sz w:val="21"/>
                <w:lang w:val="ru-RU"/>
              </w:rPr>
              <w:t>Социальный налог СН</w:t>
            </w:r>
          </w:p>
        </w:tc>
        <w:tc>
          <w:tcPr>
            <w:tcW w:w="2098" w:type="dxa"/>
            <w:vAlign w:val="center"/>
          </w:tcPr>
          <w:p w:rsidR="00096CE4" w:rsidRDefault="008A7A02">
            <w:pPr>
              <w:keepNext w:val="0"/>
              <w:spacing w:after="0" w:line="240" w:lineRule="auto"/>
              <w:ind w:firstLine="0"/>
            </w:pPr>
            <w:r>
              <w:rPr>
                <w:rFonts w:eastAsia="Times New Roman" w:cs="Times New Roman"/>
                <w:sz w:val="21"/>
                <w:lang w:val="ru-RU"/>
              </w:rPr>
              <w:t>Работодатель</w:t>
            </w:r>
          </w:p>
        </w:tc>
        <w:tc>
          <w:tcPr>
            <w:tcW w:w="1417" w:type="dxa"/>
            <w:vAlign w:val="center"/>
          </w:tcPr>
          <w:p w:rsidR="00096CE4" w:rsidRDefault="008A7A02">
            <w:pPr>
              <w:keepNext w:val="0"/>
              <w:spacing w:after="0" w:line="240" w:lineRule="auto"/>
              <w:ind w:firstLine="0"/>
              <w:jc w:val="center"/>
            </w:pPr>
            <w:r>
              <w:rPr>
                <w:rFonts w:eastAsia="Times New Roman" w:cs="Times New Roman"/>
                <w:sz w:val="21"/>
                <w:lang w:val="ru-RU"/>
              </w:rPr>
              <w:t>6%</w:t>
            </w:r>
          </w:p>
        </w:tc>
        <w:tc>
          <w:tcPr>
            <w:tcW w:w="3515" w:type="dxa"/>
            <w:vAlign w:val="center"/>
          </w:tcPr>
          <w:p w:rsidR="00096CE4" w:rsidRDefault="008A7A02">
            <w:pPr>
              <w:keepNext w:val="0"/>
              <w:spacing w:after="0" w:line="240" w:lineRule="auto"/>
              <w:ind w:firstLine="0"/>
            </w:pPr>
            <w:r>
              <w:rPr>
                <w:rFonts w:eastAsia="Times New Roman" w:cs="Times New Roman"/>
                <w:sz w:val="21"/>
                <w:lang w:val="ru-RU"/>
              </w:rPr>
              <w:t>От объекта за вычетом исключаемых сумм</w:t>
            </w:r>
          </w:p>
        </w:tc>
      </w:tr>
    </w:tbl>
    <w:p w:rsidR="00096CE4" w:rsidRDefault="00096CE4">
      <w:pPr>
        <w:spacing w:line="20" w:lineRule="exact"/>
        <w:ind w:firstLine="0"/>
      </w:pPr>
    </w:p>
    <w:p w:rsidR="00096CE4" w:rsidRDefault="008A7A02">
      <w:pPr>
        <w:jc w:val="both"/>
      </w:pPr>
      <w:r>
        <w:rPr>
          <w:rFonts w:eastAsia="Times New Roman" w:cs="Times New Roman"/>
          <w:b/>
          <w:lang w:val="ru-RU"/>
        </w:rPr>
        <w:t>ОПВ</w:t>
      </w:r>
      <w:r>
        <w:rPr>
          <w:rFonts w:eastAsia="Times New Roman" w:cs="Times New Roman"/>
          <w:lang w:val="ru-RU"/>
        </w:rPr>
        <w:t xml:space="preserve"> — обязательные пенсионные взносы; </w:t>
      </w:r>
      <w:r>
        <w:rPr>
          <w:rFonts w:eastAsia="Times New Roman" w:cs="Times New Roman"/>
          <w:b/>
          <w:lang w:val="ru-RU"/>
        </w:rPr>
        <w:t>ОПВР</w:t>
      </w:r>
      <w:r>
        <w:rPr>
          <w:rFonts w:eastAsia="Times New Roman" w:cs="Times New Roman"/>
          <w:lang w:val="ru-RU"/>
        </w:rPr>
        <w:t xml:space="preserve"> — обязательные пенсионные взносы работодателя; </w:t>
      </w:r>
      <w:r>
        <w:rPr>
          <w:rFonts w:eastAsia="Times New Roman" w:cs="Times New Roman"/>
          <w:b/>
          <w:lang w:val="ru-RU"/>
        </w:rPr>
        <w:t>ВОСМС</w:t>
      </w:r>
      <w:r>
        <w:rPr>
          <w:rFonts w:eastAsia="Times New Roman" w:cs="Times New Roman"/>
          <w:lang w:val="ru-RU"/>
        </w:rPr>
        <w:t xml:space="preserve"> — взносы на обязательное социальное медицинское страхование. СО и СН — разные обязательства с разными основаниями. Совпадение слова «социальный» не делает их одним платежом.</w:t>
      </w:r>
    </w:p>
    <w:p w:rsidR="00096CE4" w:rsidRDefault="008A7A02">
      <w:pPr>
        <w:pStyle w:val="1"/>
        <w:keepNext/>
      </w:pPr>
      <w:r>
        <w:rPr>
          <w:rFonts w:ascii="Times New Roman" w:eastAsia="Times New Roman" w:hAnsi="Times New Roman" w:cs="Times New Roman"/>
          <w:lang w:val="ru-RU"/>
        </w:rPr>
        <w:t>Вычеты и пределы базы</w:t>
      </w:r>
    </w:p>
    <w:p w:rsidR="00096CE4" w:rsidRDefault="008A7A02">
      <w:pPr>
        <w:jc w:val="both"/>
      </w:pPr>
      <w:r>
        <w:rPr>
          <w:rFonts w:eastAsia="Times New Roman" w:cs="Times New Roman"/>
          <w:lang w:val="ru-RU"/>
        </w:rPr>
        <w:t>Для ИПН с 2026 года предусмотрен базовый вычет 30 МРП в м</w:t>
      </w:r>
      <w:r>
        <w:rPr>
          <w:rFonts w:eastAsia="Times New Roman" w:cs="Times New Roman"/>
          <w:lang w:val="ru-RU"/>
        </w:rPr>
        <w:t>есяц, не более 360 МРП в год; он применяется у одного налогового агента на основании заявления. При МРП 4 325 тенге месячная сумма равна 129 750. Вычеты по социальным платежам анализируются отдельно. В примере учитываются ОПВ и ВОСМС. [Н14, Н16]</w:t>
      </w:r>
    </w:p>
    <w:p w:rsidR="00096CE4" w:rsidRDefault="008A7A02">
      <w:pPr>
        <w:jc w:val="both"/>
      </w:pPr>
      <w:r>
        <w:rPr>
          <w:rFonts w:eastAsia="Times New Roman" w:cs="Times New Roman"/>
          <w:lang w:val="ru-RU"/>
        </w:rPr>
        <w:t>По обычном</w:t>
      </w:r>
      <w:r>
        <w:rPr>
          <w:rFonts w:eastAsia="Times New Roman" w:cs="Times New Roman"/>
          <w:lang w:val="ru-RU"/>
        </w:rPr>
        <w:t xml:space="preserve">у доходу шкала ИПН предусматривает 10 процентов в пределах 8 500 МРП за год и 15 процентов с превышения. Нельзя применить 15 процентов ко всему доходу только из-за пересечения порога. Для расчета у источника выплаты важно учитывать данные соответствующего </w:t>
      </w:r>
      <w:r>
        <w:rPr>
          <w:rFonts w:eastAsia="Times New Roman" w:cs="Times New Roman"/>
          <w:lang w:val="ru-RU"/>
        </w:rPr>
        <w:t>периода и накопленный доход, а также корректировки и права на вычеты. [Н14]</w:t>
      </w:r>
    </w:p>
    <w:p w:rsidR="00096CE4" w:rsidRDefault="008A7A02">
      <w:pPr>
        <w:jc w:val="both"/>
      </w:pPr>
      <w:r>
        <w:rPr>
          <w:rFonts w:eastAsia="Times New Roman" w:cs="Times New Roman"/>
          <w:lang w:val="ru-RU"/>
        </w:rPr>
        <w:t>Для ОСМС в 2026 году верхняя база работника — 20 МЗП, работодателя — 40 МЗП. При МЗП 85 000 это 1 700 000 и 3 400 000 тенге. Следовательно, максимальная месячная сумма ВОСМС в стан</w:t>
      </w:r>
      <w:r>
        <w:rPr>
          <w:rFonts w:eastAsia="Times New Roman" w:cs="Times New Roman"/>
          <w:lang w:val="ru-RU"/>
        </w:rPr>
        <w:t>дартном случае составляет 34 000, отчислений работодателя — 102 000. Ставки при изменении верхней базы не увеличиваются. [Н17]</w:t>
      </w:r>
    </w:p>
    <w:p w:rsidR="00096CE4" w:rsidRDefault="008A7A02">
      <w:pPr>
        <w:jc w:val="both"/>
      </w:pPr>
      <w:r>
        <w:rPr>
          <w:rFonts w:eastAsia="Times New Roman" w:cs="Times New Roman"/>
          <w:lang w:val="ru-RU"/>
        </w:rPr>
        <w:t xml:space="preserve">Для СО используется установленный объект и применимые пределы. В обычном расчете учитывается вычитание ОПВ; верхний месячный </w:t>
      </w:r>
      <w:r>
        <w:rPr>
          <w:rFonts w:eastAsia="Times New Roman" w:cs="Times New Roman"/>
          <w:lang w:val="ru-RU"/>
        </w:rPr>
        <w:t>объект — 7 МЗП. Освобождения и минимальная база проверяются с учетом статуса и дохода. Крупный доход и льготный статус требуют отдельного расчета, а не умножения всей суммы на ставку. [Н21]</w:t>
      </w:r>
    </w:p>
    <w:p>
      <w:pPr>
        <w:keepNext w:val="0"/>
        <w:jc w:val="both"/>
      </w:pPr>
      <w:r>
        <w:rPr>
          <w:rFonts w:eastAsia="Times New Roman" w:cs="Times New Roman"/>
          <w:lang w:val="ru-RU"/>
        </w:rPr>
        <w:t>Для обычного работника верхняя месячная база ОПВ и ОПВР составляет 50 МЗП, то есть 4 250 000 тенге в 2026 году. ОПВР уплачиваются за счет работодателя с учетом даты рождения работника и предусмотренных освобождений; для учебного примера принят работник, родившийся после 1 января 1975 года. Пределы СО и ОСМС применяются отдельно, поэтому единая база для всех платежей не используется. [Н21, Н23, Н25]</w:t>
      </w:r>
    </w:p>
    <w:p w:rsidR="00096CE4" w:rsidRDefault="008A7A02">
      <w:pPr>
        <w:pStyle w:val="1"/>
        <w:keepNext/>
      </w:pPr>
      <w:r>
        <w:rPr>
          <w:rFonts w:ascii="Times New Roman" w:eastAsia="Times New Roman" w:hAnsi="Times New Roman" w:cs="Times New Roman"/>
          <w:lang w:val="ru-RU"/>
        </w:rPr>
        <w:t>Разобранный пример зарплаты за месяц 2026 года</w:t>
      </w:r>
    </w:p>
    <w:p w:rsidR="00096CE4" w:rsidRDefault="008A7A02">
      <w:pPr>
        <w:jc w:val="both"/>
      </w:pPr>
      <w:r>
        <w:rPr>
          <w:rFonts w:eastAsia="Times New Roman" w:cs="Times New Roman"/>
          <w:lang w:val="ru-RU"/>
        </w:rPr>
        <w:t>Суммы приведены в тенге. Начисленная заработная плата работника-резидента — 300 000. Работник родился в 1990 году, подлежит всем перечисленным платежам, не имеет освобождений и иных удержаний. Заявление на базовый вычет подано только этому работодателю; доход не превышает порог нижней ступени ИПН. МРП 2026 года — 4 325 тенге, МЗП — 85 000 тенге. [Н13, Н21, Н23, Н25]</w:t>
      </w:r>
    </w:p>
    <w:tbl>
      <w:tblPr>
        <w:tblW w:w="0" w:type="auto"/>
        <w:jc w:val="center"/>
        <w:tblBorders>
          <w:top w:val="single" w:sz="4" w:space="0" w:color="D9D9D9"/>
          <w:left w:val="single" w:sz="4" w:space="0" w:color="D9D9D9"/>
          <w:bottom w:val="single" w:sz="4" w:space="0" w:color="D9D9D9"/>
          <w:right w:val="single" w:sz="4" w:space="0" w:color="D9D9D9"/>
          <w:insideH w:val="single" w:sz="4" w:space="0" w:color="D9D9D9"/>
          <w:insideV w:val="single" w:sz="4" w:space="0" w:color="D9D9D9"/>
        </w:tblBorders>
        <w:tblLayout w:type="fixed"/>
        <w:tblCellMar>
          <w:top w:w="65" w:type="dxa"/>
          <w:left w:w="90" w:type="dxa"/>
          <w:bottom w:w="65" w:type="dxa"/>
          <w:right w:w="90" w:type="dxa"/>
        </w:tblCellMar>
        <w:tblLook w:val="04A0" w:firstRow="1" w:lastRow="0" w:firstColumn="1" w:lastColumn="0" w:noHBand="0" w:noVBand="1"/>
      </w:tblPr>
      <w:tblGrid>
        <w:gridCol w:w="5102"/>
        <w:gridCol w:w="2665"/>
        <w:gridCol w:w="1701"/>
      </w:tblGrid>
      <w:tr w:rsidR="00096CE4">
        <w:trPr>
          <w:cantSplit/>
          <w:tblHeader/>
          <w:jc w:val="center"/>
        </w:trPr>
        <w:tc>
          <w:tcPr>
            <w:tcW w:w="5102" w:type="dxa"/>
            <w:shd w:val="clear" w:color="auto" w:fill="E8EFF5"/>
            <w:vAlign w:val="center"/>
          </w:tcPr>
          <w:p w:rsidR="00096CE4" w:rsidRDefault="008A7A02">
            <w:pPr>
              <w:keepNext/>
              <w:spacing w:after="0" w:line="240" w:lineRule="auto"/>
              <w:ind w:firstLine="0"/>
            </w:pPr>
            <w:r>
              <w:rPr>
                <w:rFonts w:eastAsia="Times New Roman" w:cs="Times New Roman"/>
                <w:b/>
                <w:sz w:val="21"/>
                <w:lang w:val="ru-RU"/>
              </w:rPr>
              <w:t>Удержание и результат</w:t>
            </w:r>
          </w:p>
        </w:tc>
        <w:tc>
          <w:tcPr>
            <w:tcW w:w="2665" w:type="dxa"/>
            <w:shd w:val="clear" w:color="auto" w:fill="E8EFF5"/>
            <w:vAlign w:val="center"/>
          </w:tcPr>
          <w:p w:rsidR="00096CE4" w:rsidRDefault="008A7A02">
            <w:pPr>
              <w:keepNext/>
              <w:spacing w:after="0" w:line="240" w:lineRule="auto"/>
              <w:ind w:firstLine="0"/>
              <w:jc w:val="center"/>
            </w:pPr>
            <w:r>
              <w:rPr>
                <w:rFonts w:eastAsia="Times New Roman" w:cs="Times New Roman"/>
                <w:b/>
                <w:sz w:val="21"/>
                <w:lang w:val="ru-RU"/>
              </w:rPr>
              <w:t>Расчет</w:t>
            </w:r>
          </w:p>
        </w:tc>
        <w:tc>
          <w:tcPr>
            <w:tcW w:w="1701" w:type="dxa"/>
            <w:shd w:val="clear" w:color="auto" w:fill="E8EFF5"/>
            <w:vAlign w:val="center"/>
          </w:tcPr>
          <w:p w:rsidR="00096CE4" w:rsidRDefault="008A7A02">
            <w:pPr>
              <w:keepNext/>
              <w:spacing w:after="0" w:line="240" w:lineRule="auto"/>
              <w:ind w:firstLine="0"/>
              <w:jc w:val="center"/>
            </w:pPr>
            <w:r>
              <w:rPr>
                <w:rFonts w:eastAsia="Times New Roman" w:cs="Times New Roman"/>
                <w:b/>
                <w:sz w:val="21"/>
                <w:lang w:val="ru-RU"/>
              </w:rPr>
              <w:t>Тенге</w:t>
            </w:r>
          </w:p>
        </w:tc>
      </w:tr>
      <w:tr w:rsidR="00096CE4">
        <w:trPr>
          <w:cantSplit/>
          <w:jc w:val="center"/>
        </w:trPr>
        <w:tc>
          <w:tcPr>
            <w:tcW w:w="5102" w:type="dxa"/>
            <w:vAlign w:val="center"/>
          </w:tcPr>
          <w:p w:rsidR="00096CE4" w:rsidRDefault="008A7A02">
            <w:pPr>
              <w:keepNext/>
              <w:spacing w:after="0" w:line="240" w:lineRule="auto"/>
              <w:ind w:firstLine="0"/>
            </w:pPr>
            <w:r>
              <w:rPr>
                <w:rFonts w:eastAsia="Times New Roman" w:cs="Times New Roman"/>
                <w:sz w:val="21"/>
                <w:lang w:val="ru-RU"/>
              </w:rPr>
              <w:t>ОПВ</w:t>
            </w:r>
          </w:p>
        </w:tc>
        <w:tc>
          <w:tcPr>
            <w:tcW w:w="2665" w:type="dxa"/>
            <w:vAlign w:val="center"/>
          </w:tcPr>
          <w:p w:rsidR="00096CE4" w:rsidRDefault="008A7A02">
            <w:pPr>
              <w:keepNext/>
              <w:spacing w:after="0" w:line="240" w:lineRule="auto"/>
              <w:ind w:firstLine="0"/>
              <w:jc w:val="center"/>
            </w:pPr>
            <w:r>
              <w:rPr>
                <w:rFonts w:eastAsia="Times New Roman" w:cs="Times New Roman"/>
                <w:sz w:val="21"/>
                <w:lang w:val="ru-RU"/>
              </w:rPr>
              <w:t>300 000 × 10%</w:t>
            </w:r>
          </w:p>
        </w:tc>
        <w:tc>
          <w:tcPr>
            <w:tcW w:w="1701" w:type="dxa"/>
            <w:vAlign w:val="center"/>
          </w:tcPr>
          <w:p w:rsidR="00096CE4" w:rsidRDefault="008A7A02">
            <w:pPr>
              <w:keepNext/>
              <w:spacing w:after="0" w:line="240" w:lineRule="auto"/>
              <w:ind w:firstLine="0"/>
              <w:jc w:val="center"/>
            </w:pPr>
            <w:r>
              <w:rPr>
                <w:rFonts w:eastAsia="Times New Roman" w:cs="Times New Roman"/>
                <w:sz w:val="21"/>
                <w:lang w:val="ru-RU"/>
              </w:rPr>
              <w:t>30 000</w:t>
            </w:r>
          </w:p>
        </w:tc>
      </w:tr>
      <w:tr w:rsidR="00096CE4">
        <w:trPr>
          <w:cantSplit/>
          <w:jc w:val="center"/>
        </w:trPr>
        <w:tc>
          <w:tcPr>
            <w:tcW w:w="5102" w:type="dxa"/>
            <w:vAlign w:val="center"/>
          </w:tcPr>
          <w:p w:rsidR="00096CE4" w:rsidRDefault="008A7A02">
            <w:pPr>
              <w:keepNext/>
              <w:spacing w:after="0" w:line="240" w:lineRule="auto"/>
              <w:ind w:firstLine="0"/>
            </w:pPr>
            <w:r>
              <w:rPr>
                <w:rFonts w:eastAsia="Times New Roman" w:cs="Times New Roman"/>
                <w:sz w:val="21"/>
                <w:lang w:val="ru-RU"/>
              </w:rPr>
              <w:t>ВОСМС</w:t>
            </w:r>
          </w:p>
        </w:tc>
        <w:tc>
          <w:tcPr>
            <w:tcW w:w="2665" w:type="dxa"/>
            <w:vAlign w:val="center"/>
          </w:tcPr>
          <w:p w:rsidR="00096CE4" w:rsidRDefault="008A7A02">
            <w:pPr>
              <w:keepNext/>
              <w:spacing w:after="0" w:line="240" w:lineRule="auto"/>
              <w:ind w:firstLine="0"/>
              <w:jc w:val="center"/>
            </w:pPr>
            <w:r>
              <w:rPr>
                <w:rFonts w:eastAsia="Times New Roman" w:cs="Times New Roman"/>
                <w:sz w:val="21"/>
                <w:lang w:val="ru-RU"/>
              </w:rPr>
              <w:t>300 000 × 2%</w:t>
            </w:r>
          </w:p>
        </w:tc>
        <w:tc>
          <w:tcPr>
            <w:tcW w:w="1701" w:type="dxa"/>
            <w:vAlign w:val="center"/>
          </w:tcPr>
          <w:p w:rsidR="00096CE4" w:rsidRDefault="008A7A02">
            <w:pPr>
              <w:keepNext/>
              <w:spacing w:after="0" w:line="240" w:lineRule="auto"/>
              <w:ind w:firstLine="0"/>
              <w:jc w:val="center"/>
            </w:pPr>
            <w:r>
              <w:rPr>
                <w:rFonts w:eastAsia="Times New Roman" w:cs="Times New Roman"/>
                <w:sz w:val="21"/>
                <w:lang w:val="ru-RU"/>
              </w:rPr>
              <w:t>6 000</w:t>
            </w:r>
          </w:p>
        </w:tc>
      </w:tr>
      <w:tr w:rsidR="00096CE4">
        <w:trPr>
          <w:cantSplit/>
          <w:jc w:val="center"/>
        </w:trPr>
        <w:tc>
          <w:tcPr>
            <w:tcW w:w="5102" w:type="dxa"/>
            <w:vAlign w:val="center"/>
          </w:tcPr>
          <w:p w:rsidR="00096CE4" w:rsidRDefault="008A7A02">
            <w:pPr>
              <w:keepNext/>
              <w:spacing w:after="0" w:line="240" w:lineRule="auto"/>
              <w:ind w:firstLine="0"/>
            </w:pPr>
            <w:r>
              <w:rPr>
                <w:rFonts w:eastAsia="Times New Roman" w:cs="Times New Roman"/>
                <w:sz w:val="21"/>
                <w:lang w:val="ru-RU"/>
              </w:rPr>
              <w:t>Базовый вычет</w:t>
            </w:r>
          </w:p>
        </w:tc>
        <w:tc>
          <w:tcPr>
            <w:tcW w:w="2665" w:type="dxa"/>
            <w:vAlign w:val="center"/>
          </w:tcPr>
          <w:p w:rsidR="00096CE4" w:rsidRDefault="008A7A02">
            <w:pPr>
              <w:keepNext/>
              <w:spacing w:after="0" w:line="240" w:lineRule="auto"/>
              <w:ind w:firstLine="0"/>
              <w:jc w:val="center"/>
            </w:pPr>
            <w:r>
              <w:rPr>
                <w:rFonts w:eastAsia="Times New Roman" w:cs="Times New Roman"/>
                <w:sz w:val="21"/>
                <w:lang w:val="ru-RU"/>
              </w:rPr>
              <w:t>30 × 4 325</w:t>
            </w:r>
          </w:p>
        </w:tc>
        <w:tc>
          <w:tcPr>
            <w:tcW w:w="1701" w:type="dxa"/>
            <w:vAlign w:val="center"/>
          </w:tcPr>
          <w:p w:rsidR="00096CE4" w:rsidRDefault="008A7A02">
            <w:pPr>
              <w:keepNext/>
              <w:spacing w:after="0" w:line="240" w:lineRule="auto"/>
              <w:ind w:firstLine="0"/>
              <w:jc w:val="center"/>
            </w:pPr>
            <w:r>
              <w:rPr>
                <w:rFonts w:eastAsia="Times New Roman" w:cs="Times New Roman"/>
                <w:sz w:val="21"/>
                <w:lang w:val="ru-RU"/>
              </w:rPr>
              <w:t>129 750</w:t>
            </w:r>
          </w:p>
        </w:tc>
      </w:tr>
      <w:tr w:rsidR="00096CE4">
        <w:trPr>
          <w:cantSplit/>
          <w:jc w:val="center"/>
        </w:trPr>
        <w:tc>
          <w:tcPr>
            <w:tcW w:w="5102" w:type="dxa"/>
            <w:vAlign w:val="center"/>
          </w:tcPr>
          <w:p w:rsidR="00096CE4" w:rsidRDefault="008A7A02">
            <w:pPr>
              <w:keepNext/>
              <w:spacing w:after="0" w:line="240" w:lineRule="auto"/>
              <w:ind w:firstLine="0"/>
            </w:pPr>
            <w:r>
              <w:rPr>
                <w:rFonts w:eastAsia="Times New Roman" w:cs="Times New Roman"/>
                <w:sz w:val="21"/>
                <w:lang w:val="ru-RU"/>
              </w:rPr>
              <w:t>Облагаемый доход для ИПН</w:t>
            </w:r>
          </w:p>
        </w:tc>
        <w:tc>
          <w:tcPr>
            <w:tcW w:w="2665" w:type="dxa"/>
            <w:vAlign w:val="center"/>
          </w:tcPr>
          <w:p w:rsidR="00096CE4" w:rsidRDefault="008A7A02">
            <w:pPr>
              <w:keepNext/>
              <w:spacing w:after="0" w:line="240" w:lineRule="auto"/>
              <w:ind w:firstLine="0"/>
              <w:jc w:val="center"/>
            </w:pPr>
            <w:r>
              <w:rPr>
                <w:rFonts w:eastAsia="Times New Roman" w:cs="Times New Roman"/>
                <w:sz w:val="21"/>
                <w:lang w:val="ru-RU"/>
              </w:rPr>
              <w:t>300 000 − 30 000 − 6 000 − 129 750</w:t>
            </w:r>
          </w:p>
        </w:tc>
        <w:tc>
          <w:tcPr>
            <w:tcW w:w="1701" w:type="dxa"/>
            <w:vAlign w:val="center"/>
          </w:tcPr>
          <w:p w:rsidR="00096CE4" w:rsidRDefault="008A7A02">
            <w:pPr>
              <w:keepNext/>
              <w:spacing w:after="0" w:line="240" w:lineRule="auto"/>
              <w:ind w:firstLine="0"/>
              <w:jc w:val="center"/>
            </w:pPr>
            <w:r>
              <w:rPr>
                <w:rFonts w:eastAsia="Times New Roman" w:cs="Times New Roman"/>
                <w:sz w:val="21"/>
                <w:lang w:val="ru-RU"/>
              </w:rPr>
              <w:t>134 250</w:t>
            </w:r>
          </w:p>
        </w:tc>
      </w:tr>
      <w:tr w:rsidR="00096CE4">
        <w:trPr>
          <w:cantSplit/>
          <w:jc w:val="center"/>
        </w:trPr>
        <w:tc>
          <w:tcPr>
            <w:tcW w:w="5102" w:type="dxa"/>
            <w:vAlign w:val="center"/>
          </w:tcPr>
          <w:p w:rsidR="00096CE4" w:rsidRDefault="008A7A02">
            <w:pPr>
              <w:keepNext/>
              <w:spacing w:after="0" w:line="240" w:lineRule="auto"/>
              <w:ind w:firstLine="0"/>
            </w:pPr>
            <w:r>
              <w:rPr>
                <w:rFonts w:eastAsia="Times New Roman" w:cs="Times New Roman"/>
                <w:sz w:val="21"/>
                <w:lang w:val="ru-RU"/>
              </w:rPr>
              <w:t>ИПН</w:t>
            </w:r>
          </w:p>
        </w:tc>
        <w:tc>
          <w:tcPr>
            <w:tcW w:w="2665" w:type="dxa"/>
            <w:vAlign w:val="center"/>
          </w:tcPr>
          <w:p w:rsidR="00096CE4" w:rsidRDefault="008A7A02">
            <w:pPr>
              <w:keepNext/>
              <w:spacing w:after="0" w:line="240" w:lineRule="auto"/>
              <w:ind w:firstLine="0"/>
              <w:jc w:val="center"/>
            </w:pPr>
            <w:r>
              <w:rPr>
                <w:rFonts w:eastAsia="Times New Roman" w:cs="Times New Roman"/>
                <w:sz w:val="21"/>
                <w:lang w:val="ru-RU"/>
              </w:rPr>
              <w:t>134 250 × 10%</w:t>
            </w:r>
          </w:p>
        </w:tc>
        <w:tc>
          <w:tcPr>
            <w:tcW w:w="1701" w:type="dxa"/>
            <w:vAlign w:val="center"/>
          </w:tcPr>
          <w:p w:rsidR="00096CE4" w:rsidRDefault="008A7A02">
            <w:pPr>
              <w:keepNext/>
              <w:spacing w:after="0" w:line="240" w:lineRule="auto"/>
              <w:ind w:firstLine="0"/>
              <w:jc w:val="center"/>
            </w:pPr>
            <w:r>
              <w:rPr>
                <w:rFonts w:eastAsia="Times New Roman" w:cs="Times New Roman"/>
                <w:sz w:val="21"/>
                <w:lang w:val="ru-RU"/>
              </w:rPr>
              <w:t>13 425</w:t>
            </w:r>
          </w:p>
        </w:tc>
      </w:tr>
      <w:tr w:rsidR="00096CE4">
        <w:trPr>
          <w:cantSplit/>
          <w:jc w:val="center"/>
        </w:trPr>
        <w:tc>
          <w:tcPr>
            <w:tcW w:w="5102" w:type="dxa"/>
            <w:vAlign w:val="center"/>
          </w:tcPr>
          <w:p w:rsidR="00096CE4" w:rsidRDefault="008A7A02">
            <w:pPr>
              <w:keepNext/>
              <w:spacing w:after="0" w:line="240" w:lineRule="auto"/>
              <w:ind w:firstLine="0"/>
            </w:pPr>
            <w:r>
              <w:rPr>
                <w:rFonts w:eastAsia="Times New Roman" w:cs="Times New Roman"/>
                <w:sz w:val="21"/>
                <w:lang w:val="ru-RU"/>
              </w:rPr>
              <w:t>Всего удержаний из заработной платы</w:t>
            </w:r>
          </w:p>
        </w:tc>
        <w:tc>
          <w:tcPr>
            <w:tcW w:w="2665" w:type="dxa"/>
            <w:vAlign w:val="center"/>
          </w:tcPr>
          <w:p w:rsidR="00096CE4" w:rsidRDefault="008A7A02">
            <w:pPr>
              <w:keepNext/>
              <w:spacing w:after="0" w:line="240" w:lineRule="auto"/>
              <w:ind w:firstLine="0"/>
              <w:jc w:val="center"/>
            </w:pPr>
            <w:r>
              <w:rPr>
                <w:rFonts w:eastAsia="Times New Roman" w:cs="Times New Roman"/>
                <w:sz w:val="21"/>
                <w:lang w:val="ru-RU"/>
              </w:rPr>
              <w:t>30 000 + 6 000 + 13 425</w:t>
            </w:r>
          </w:p>
        </w:tc>
        <w:tc>
          <w:tcPr>
            <w:tcW w:w="1701" w:type="dxa"/>
            <w:vAlign w:val="center"/>
          </w:tcPr>
          <w:p w:rsidR="00096CE4" w:rsidRDefault="008A7A02">
            <w:pPr>
              <w:keepNext/>
              <w:spacing w:after="0" w:line="240" w:lineRule="auto"/>
              <w:ind w:firstLine="0"/>
              <w:jc w:val="center"/>
            </w:pPr>
            <w:r>
              <w:rPr>
                <w:rFonts w:eastAsia="Times New Roman" w:cs="Times New Roman"/>
                <w:sz w:val="21"/>
                <w:lang w:val="ru-RU"/>
              </w:rPr>
              <w:t>49 425</w:t>
            </w:r>
          </w:p>
        </w:tc>
      </w:tr>
      <w:tr w:rsidR="00096CE4">
        <w:trPr>
          <w:cantSplit/>
          <w:jc w:val="center"/>
        </w:trPr>
        <w:tc>
          <w:tcPr>
            <w:tcW w:w="5102" w:type="dxa"/>
            <w:vAlign w:val="center"/>
          </w:tcPr>
          <w:p w:rsidR="00096CE4" w:rsidRDefault="008A7A02">
            <w:pPr>
              <w:keepNext w:val="0"/>
              <w:spacing w:after="0" w:line="240" w:lineRule="auto"/>
              <w:ind w:firstLine="0"/>
            </w:pPr>
            <w:r>
              <w:rPr>
                <w:rFonts w:eastAsia="Times New Roman" w:cs="Times New Roman"/>
                <w:sz w:val="21"/>
                <w:lang w:val="ru-RU"/>
              </w:rPr>
              <w:t>К выплате работнику</w:t>
            </w:r>
          </w:p>
        </w:tc>
        <w:tc>
          <w:tcPr>
            <w:tcW w:w="2665" w:type="dxa"/>
            <w:vAlign w:val="center"/>
          </w:tcPr>
          <w:p w:rsidR="00096CE4" w:rsidRDefault="008A7A02">
            <w:pPr>
              <w:keepNext w:val="0"/>
              <w:spacing w:after="0" w:line="240" w:lineRule="auto"/>
              <w:ind w:firstLine="0"/>
              <w:jc w:val="center"/>
            </w:pPr>
            <w:r>
              <w:rPr>
                <w:rFonts w:eastAsia="Times New Roman" w:cs="Times New Roman"/>
                <w:sz w:val="21"/>
                <w:lang w:val="ru-RU"/>
              </w:rPr>
              <w:t>300 000 − 49 425</w:t>
            </w:r>
          </w:p>
        </w:tc>
        <w:tc>
          <w:tcPr>
            <w:tcW w:w="1701" w:type="dxa"/>
            <w:vAlign w:val="center"/>
          </w:tcPr>
          <w:p w:rsidR="00096CE4" w:rsidRDefault="008A7A02">
            <w:pPr>
              <w:keepNext w:val="0"/>
              <w:spacing w:after="0" w:line="240" w:lineRule="auto"/>
              <w:ind w:firstLine="0"/>
              <w:jc w:val="center"/>
            </w:pPr>
            <w:r>
              <w:rPr>
                <w:rFonts w:eastAsia="Times New Roman" w:cs="Times New Roman"/>
                <w:sz w:val="21"/>
                <w:lang w:val="ru-RU"/>
              </w:rPr>
              <w:t>250 575</w:t>
            </w:r>
          </w:p>
        </w:tc>
      </w:tr>
    </w:tbl>
    <w:p w:rsidR="00096CE4" w:rsidRDefault="00096CE4">
      <w:pPr>
        <w:spacing w:line="20" w:lineRule="exact"/>
        <w:ind w:firstLine="0"/>
      </w:pPr>
    </w:p>
    <w:p w:rsidR="00096CE4" w:rsidRDefault="008A7A02">
      <w:pPr>
        <w:jc w:val="both"/>
      </w:pPr>
      <w:r>
        <w:rPr>
          <w:rFonts w:eastAsia="Times New Roman" w:cs="Times New Roman"/>
          <w:lang w:val="ru-RU"/>
        </w:rPr>
        <w:t xml:space="preserve">Сначала рассчитываются обязательные платежи работника </w:t>
      </w:r>
      <w:r>
        <w:rPr>
          <w:rFonts w:eastAsia="Times New Roman" w:cs="Times New Roman"/>
          <w:lang w:val="ru-RU"/>
        </w:rPr>
        <w:t>и допустимый вычет, затем ИПН. Базовый вычет уменьшает налоговую базу, а не выплачиваемую зарплату непосредственно. Поэтому ошибочно вычитать 129 750 еще раз из суммы к выдаче. Проверка выплаты: 250 575 + 49 425 = 300 000.</w:t>
      </w:r>
    </w:p>
    <w:tbl>
      <w:tblPr>
        <w:tblW w:w="0" w:type="auto"/>
        <w:jc w:val="center"/>
        <w:tblBorders>
          <w:top w:val="single" w:sz="4" w:space="0" w:color="D9D9D9"/>
          <w:left w:val="single" w:sz="4" w:space="0" w:color="D9D9D9"/>
          <w:bottom w:val="single" w:sz="4" w:space="0" w:color="D9D9D9"/>
          <w:right w:val="single" w:sz="4" w:space="0" w:color="D9D9D9"/>
          <w:insideH w:val="single" w:sz="4" w:space="0" w:color="D9D9D9"/>
          <w:insideV w:val="single" w:sz="4" w:space="0" w:color="D9D9D9"/>
        </w:tblBorders>
        <w:tblLayout w:type="fixed"/>
        <w:tblCellMar>
          <w:top w:w="65" w:type="dxa"/>
          <w:left w:w="90" w:type="dxa"/>
          <w:bottom w:w="65" w:type="dxa"/>
          <w:right w:w="90" w:type="dxa"/>
        </w:tblCellMar>
        <w:tblLook w:val="04A0" w:firstRow="1" w:lastRow="0" w:firstColumn="1" w:lastColumn="0" w:noHBand="0" w:noVBand="1"/>
      </w:tblPr>
      <w:tblGrid>
        <w:gridCol w:w="3969"/>
        <w:gridCol w:w="3798"/>
        <w:gridCol w:w="1701"/>
      </w:tblGrid>
      <w:tr w:rsidR="00096CE4">
        <w:trPr>
          <w:cantSplit/>
          <w:tblHeader/>
          <w:jc w:val="center"/>
        </w:trPr>
        <w:tc>
          <w:tcPr>
            <w:tcW w:w="3969" w:type="dxa"/>
            <w:shd w:val="clear" w:color="auto" w:fill="E8EFF5"/>
            <w:vAlign w:val="center"/>
          </w:tcPr>
          <w:p w:rsidR="00096CE4" w:rsidRDefault="008A7A02">
            <w:pPr>
              <w:keepNext/>
              <w:spacing w:after="0" w:line="240" w:lineRule="auto"/>
              <w:ind w:firstLine="0"/>
            </w:pPr>
            <w:r>
              <w:rPr>
                <w:rFonts w:eastAsia="Times New Roman" w:cs="Times New Roman"/>
                <w:b/>
                <w:sz w:val="21"/>
                <w:lang w:val="ru-RU"/>
              </w:rPr>
              <w:t>Начисление работодателя</w:t>
            </w:r>
          </w:p>
        </w:tc>
        <w:tc>
          <w:tcPr>
            <w:tcW w:w="3798" w:type="dxa"/>
            <w:shd w:val="clear" w:color="auto" w:fill="E8EFF5"/>
            <w:vAlign w:val="center"/>
          </w:tcPr>
          <w:p w:rsidR="00096CE4" w:rsidRDefault="008A7A02">
            <w:pPr>
              <w:keepNext/>
              <w:spacing w:after="0" w:line="240" w:lineRule="auto"/>
              <w:ind w:firstLine="0"/>
              <w:jc w:val="center"/>
            </w:pPr>
            <w:r>
              <w:rPr>
                <w:rFonts w:eastAsia="Times New Roman" w:cs="Times New Roman"/>
                <w:b/>
                <w:sz w:val="21"/>
                <w:lang w:val="ru-RU"/>
              </w:rPr>
              <w:t>Расчет</w:t>
            </w:r>
          </w:p>
        </w:tc>
        <w:tc>
          <w:tcPr>
            <w:tcW w:w="1701" w:type="dxa"/>
            <w:shd w:val="clear" w:color="auto" w:fill="E8EFF5"/>
            <w:vAlign w:val="center"/>
          </w:tcPr>
          <w:p w:rsidR="00096CE4" w:rsidRDefault="008A7A02">
            <w:pPr>
              <w:keepNext/>
              <w:spacing w:after="0" w:line="240" w:lineRule="auto"/>
              <w:ind w:firstLine="0"/>
              <w:jc w:val="center"/>
            </w:pPr>
            <w:r>
              <w:rPr>
                <w:rFonts w:eastAsia="Times New Roman" w:cs="Times New Roman"/>
                <w:b/>
                <w:sz w:val="21"/>
                <w:lang w:val="ru-RU"/>
              </w:rPr>
              <w:t>Те</w:t>
            </w:r>
            <w:r>
              <w:rPr>
                <w:rFonts w:eastAsia="Times New Roman" w:cs="Times New Roman"/>
                <w:b/>
                <w:sz w:val="21"/>
                <w:lang w:val="ru-RU"/>
              </w:rPr>
              <w:t>нге</w:t>
            </w:r>
          </w:p>
        </w:tc>
      </w:tr>
      <w:tr w:rsidR="00096CE4">
        <w:trPr>
          <w:cantSplit/>
          <w:jc w:val="center"/>
        </w:trPr>
        <w:tc>
          <w:tcPr>
            <w:tcW w:w="3969" w:type="dxa"/>
            <w:vAlign w:val="center"/>
          </w:tcPr>
          <w:p w:rsidR="00096CE4" w:rsidRDefault="008A7A02">
            <w:pPr>
              <w:keepNext/>
              <w:spacing w:after="0" w:line="240" w:lineRule="auto"/>
              <w:ind w:firstLine="0"/>
            </w:pPr>
            <w:r>
              <w:rPr>
                <w:rFonts w:eastAsia="Times New Roman" w:cs="Times New Roman"/>
                <w:sz w:val="21"/>
                <w:lang w:val="ru-RU"/>
              </w:rPr>
              <w:t>ОПВР</w:t>
            </w:r>
          </w:p>
        </w:tc>
        <w:tc>
          <w:tcPr>
            <w:tcW w:w="3798" w:type="dxa"/>
            <w:vAlign w:val="center"/>
          </w:tcPr>
          <w:p w:rsidR="00096CE4" w:rsidRDefault="008A7A02">
            <w:pPr>
              <w:keepNext/>
              <w:spacing w:after="0" w:line="240" w:lineRule="auto"/>
              <w:ind w:firstLine="0"/>
              <w:jc w:val="center"/>
            </w:pPr>
            <w:r>
              <w:rPr>
                <w:rFonts w:eastAsia="Times New Roman" w:cs="Times New Roman"/>
                <w:sz w:val="21"/>
                <w:lang w:val="ru-RU"/>
              </w:rPr>
              <w:t>300 000 × 3,5%</w:t>
            </w:r>
          </w:p>
        </w:tc>
        <w:tc>
          <w:tcPr>
            <w:tcW w:w="1701" w:type="dxa"/>
            <w:vAlign w:val="center"/>
          </w:tcPr>
          <w:p w:rsidR="00096CE4" w:rsidRDefault="008A7A02">
            <w:pPr>
              <w:keepNext/>
              <w:spacing w:after="0" w:line="240" w:lineRule="auto"/>
              <w:ind w:firstLine="0"/>
              <w:jc w:val="center"/>
            </w:pPr>
            <w:r>
              <w:rPr>
                <w:rFonts w:eastAsia="Times New Roman" w:cs="Times New Roman"/>
                <w:sz w:val="21"/>
                <w:lang w:val="ru-RU"/>
              </w:rPr>
              <w:t>10 500</w:t>
            </w:r>
          </w:p>
        </w:tc>
      </w:tr>
      <w:tr w:rsidR="00096CE4">
        <w:trPr>
          <w:cantSplit/>
          <w:jc w:val="center"/>
        </w:trPr>
        <w:tc>
          <w:tcPr>
            <w:tcW w:w="3969" w:type="dxa"/>
            <w:vAlign w:val="center"/>
          </w:tcPr>
          <w:p w:rsidR="00096CE4" w:rsidRDefault="008A7A02">
            <w:pPr>
              <w:keepNext/>
              <w:spacing w:after="0" w:line="240" w:lineRule="auto"/>
              <w:ind w:firstLine="0"/>
            </w:pPr>
            <w:r>
              <w:rPr>
                <w:rFonts w:eastAsia="Times New Roman" w:cs="Times New Roman"/>
                <w:sz w:val="21"/>
                <w:lang w:val="ru-RU"/>
              </w:rPr>
              <w:t>Отчисления на ОСМС</w:t>
            </w:r>
          </w:p>
        </w:tc>
        <w:tc>
          <w:tcPr>
            <w:tcW w:w="3798" w:type="dxa"/>
            <w:vAlign w:val="center"/>
          </w:tcPr>
          <w:p w:rsidR="00096CE4" w:rsidRDefault="008A7A02">
            <w:pPr>
              <w:keepNext/>
              <w:spacing w:after="0" w:line="240" w:lineRule="auto"/>
              <w:ind w:firstLine="0"/>
              <w:jc w:val="center"/>
            </w:pPr>
            <w:r>
              <w:rPr>
                <w:rFonts w:eastAsia="Times New Roman" w:cs="Times New Roman"/>
                <w:sz w:val="21"/>
                <w:lang w:val="ru-RU"/>
              </w:rPr>
              <w:t>300 000 × 3%</w:t>
            </w:r>
          </w:p>
        </w:tc>
        <w:tc>
          <w:tcPr>
            <w:tcW w:w="1701" w:type="dxa"/>
            <w:vAlign w:val="center"/>
          </w:tcPr>
          <w:p w:rsidR="00096CE4" w:rsidRDefault="008A7A02">
            <w:pPr>
              <w:keepNext/>
              <w:spacing w:after="0" w:line="240" w:lineRule="auto"/>
              <w:ind w:firstLine="0"/>
              <w:jc w:val="center"/>
            </w:pPr>
            <w:r>
              <w:rPr>
                <w:rFonts w:eastAsia="Times New Roman" w:cs="Times New Roman"/>
                <w:sz w:val="21"/>
                <w:lang w:val="ru-RU"/>
              </w:rPr>
              <w:t>9 000</w:t>
            </w:r>
          </w:p>
        </w:tc>
      </w:tr>
      <w:tr w:rsidR="00096CE4">
        <w:trPr>
          <w:cantSplit/>
          <w:jc w:val="center"/>
        </w:trPr>
        <w:tc>
          <w:tcPr>
            <w:tcW w:w="3969" w:type="dxa"/>
            <w:vAlign w:val="center"/>
          </w:tcPr>
          <w:p w:rsidR="00096CE4" w:rsidRDefault="008A7A02">
            <w:pPr>
              <w:keepNext/>
              <w:spacing w:after="0" w:line="240" w:lineRule="auto"/>
              <w:ind w:firstLine="0"/>
            </w:pPr>
            <w:r>
              <w:rPr>
                <w:rFonts w:eastAsia="Times New Roman" w:cs="Times New Roman"/>
                <w:sz w:val="21"/>
                <w:lang w:val="ru-RU"/>
              </w:rPr>
              <w:t>СО</w:t>
            </w:r>
          </w:p>
        </w:tc>
        <w:tc>
          <w:tcPr>
            <w:tcW w:w="3798" w:type="dxa"/>
            <w:vAlign w:val="center"/>
          </w:tcPr>
          <w:p w:rsidR="00096CE4" w:rsidRDefault="008A7A02">
            <w:pPr>
              <w:keepNext/>
              <w:spacing w:after="0" w:line="240" w:lineRule="auto"/>
              <w:ind w:firstLine="0"/>
              <w:jc w:val="center"/>
            </w:pPr>
            <w:r>
              <w:rPr>
                <w:rFonts w:eastAsia="Times New Roman" w:cs="Times New Roman"/>
                <w:sz w:val="21"/>
                <w:lang w:val="ru-RU"/>
              </w:rPr>
              <w:t>(300 000 − 30 000) × 5%</w:t>
            </w:r>
          </w:p>
        </w:tc>
        <w:tc>
          <w:tcPr>
            <w:tcW w:w="1701" w:type="dxa"/>
            <w:vAlign w:val="center"/>
          </w:tcPr>
          <w:p w:rsidR="00096CE4" w:rsidRDefault="008A7A02">
            <w:pPr>
              <w:keepNext/>
              <w:spacing w:after="0" w:line="240" w:lineRule="auto"/>
              <w:ind w:firstLine="0"/>
              <w:jc w:val="center"/>
            </w:pPr>
            <w:r>
              <w:rPr>
                <w:rFonts w:eastAsia="Times New Roman" w:cs="Times New Roman"/>
                <w:sz w:val="21"/>
                <w:lang w:val="ru-RU"/>
              </w:rPr>
              <w:t>13 500</w:t>
            </w:r>
          </w:p>
        </w:tc>
      </w:tr>
      <w:tr w:rsidR="00096CE4">
        <w:trPr>
          <w:cantSplit/>
          <w:jc w:val="center"/>
        </w:trPr>
        <w:tc>
          <w:tcPr>
            <w:tcW w:w="3969" w:type="dxa"/>
            <w:vAlign w:val="center"/>
          </w:tcPr>
          <w:p w:rsidR="00096CE4" w:rsidRDefault="008A7A02">
            <w:pPr>
              <w:keepNext/>
              <w:spacing w:after="0" w:line="240" w:lineRule="auto"/>
              <w:ind w:firstLine="0"/>
            </w:pPr>
            <w:r>
              <w:rPr>
                <w:rFonts w:eastAsia="Times New Roman" w:cs="Times New Roman"/>
                <w:sz w:val="21"/>
                <w:lang w:val="ru-RU"/>
              </w:rPr>
              <w:t>СН</w:t>
            </w:r>
          </w:p>
        </w:tc>
        <w:tc>
          <w:tcPr>
            <w:tcW w:w="3798" w:type="dxa"/>
            <w:vAlign w:val="center"/>
          </w:tcPr>
          <w:p w:rsidR="00096CE4" w:rsidRDefault="008A7A02">
            <w:pPr>
              <w:keepNext/>
              <w:spacing w:after="0" w:line="240" w:lineRule="auto"/>
              <w:ind w:firstLine="0"/>
              <w:jc w:val="center"/>
            </w:pPr>
            <w:r>
              <w:rPr>
                <w:rFonts w:eastAsia="Times New Roman" w:cs="Times New Roman"/>
                <w:sz w:val="21"/>
                <w:lang w:val="ru-RU"/>
              </w:rPr>
              <w:t>(300 000 − 30 000 − 6 000) × 6%</w:t>
            </w:r>
          </w:p>
        </w:tc>
        <w:tc>
          <w:tcPr>
            <w:tcW w:w="1701" w:type="dxa"/>
            <w:vAlign w:val="center"/>
          </w:tcPr>
          <w:p w:rsidR="00096CE4" w:rsidRDefault="008A7A02">
            <w:pPr>
              <w:keepNext/>
              <w:spacing w:after="0" w:line="240" w:lineRule="auto"/>
              <w:ind w:firstLine="0"/>
              <w:jc w:val="center"/>
            </w:pPr>
            <w:r>
              <w:rPr>
                <w:rFonts w:eastAsia="Times New Roman" w:cs="Times New Roman"/>
                <w:sz w:val="21"/>
                <w:lang w:val="ru-RU"/>
              </w:rPr>
              <w:t>15 840</w:t>
            </w:r>
          </w:p>
        </w:tc>
      </w:tr>
      <w:tr w:rsidR="00096CE4">
        <w:trPr>
          <w:cantSplit/>
          <w:jc w:val="center"/>
        </w:trPr>
        <w:tc>
          <w:tcPr>
            <w:tcW w:w="3969" w:type="dxa"/>
            <w:vAlign w:val="center"/>
          </w:tcPr>
          <w:p w:rsidR="00096CE4" w:rsidRDefault="008A7A02">
            <w:pPr>
              <w:keepNext/>
              <w:spacing w:after="0" w:line="240" w:lineRule="auto"/>
              <w:ind w:firstLine="0"/>
            </w:pPr>
            <w:r>
              <w:rPr>
                <w:rFonts w:eastAsia="Times New Roman" w:cs="Times New Roman"/>
                <w:sz w:val="21"/>
                <w:lang w:val="ru-RU"/>
              </w:rPr>
              <w:t>Всего сверх зарплаты</w:t>
            </w:r>
          </w:p>
        </w:tc>
        <w:tc>
          <w:tcPr>
            <w:tcW w:w="3798" w:type="dxa"/>
            <w:vAlign w:val="center"/>
          </w:tcPr>
          <w:p w:rsidR="00096CE4" w:rsidRDefault="008A7A02">
            <w:pPr>
              <w:keepNext/>
              <w:spacing w:after="0" w:line="240" w:lineRule="auto"/>
              <w:ind w:firstLine="0"/>
              <w:jc w:val="center"/>
            </w:pPr>
            <w:r>
              <w:rPr>
                <w:rFonts w:eastAsia="Times New Roman" w:cs="Times New Roman"/>
                <w:sz w:val="21"/>
                <w:lang w:val="ru-RU"/>
              </w:rPr>
              <w:t>10 500 + 9 000 + 13 500 + 15 840</w:t>
            </w:r>
          </w:p>
        </w:tc>
        <w:tc>
          <w:tcPr>
            <w:tcW w:w="1701" w:type="dxa"/>
            <w:vAlign w:val="center"/>
          </w:tcPr>
          <w:p w:rsidR="00096CE4" w:rsidRDefault="008A7A02">
            <w:pPr>
              <w:keepNext/>
              <w:spacing w:after="0" w:line="240" w:lineRule="auto"/>
              <w:ind w:firstLine="0"/>
              <w:jc w:val="center"/>
            </w:pPr>
            <w:r>
              <w:rPr>
                <w:rFonts w:eastAsia="Times New Roman" w:cs="Times New Roman"/>
                <w:sz w:val="21"/>
                <w:lang w:val="ru-RU"/>
              </w:rPr>
              <w:t>48 840</w:t>
            </w:r>
          </w:p>
        </w:tc>
      </w:tr>
      <w:tr w:rsidR="00096CE4">
        <w:trPr>
          <w:cantSplit/>
          <w:jc w:val="center"/>
        </w:trPr>
        <w:tc>
          <w:tcPr>
            <w:tcW w:w="3969" w:type="dxa"/>
            <w:vAlign w:val="center"/>
          </w:tcPr>
          <w:p w:rsidR="00096CE4" w:rsidRDefault="008A7A02">
            <w:pPr>
              <w:keepNext w:val="0"/>
              <w:spacing w:after="0" w:line="240" w:lineRule="auto"/>
              <w:ind w:firstLine="0"/>
            </w:pPr>
            <w:r>
              <w:rPr>
                <w:rFonts w:eastAsia="Times New Roman" w:cs="Times New Roman"/>
                <w:sz w:val="21"/>
                <w:lang w:val="ru-RU"/>
              </w:rPr>
              <w:t>Полные расходы учреждения</w:t>
            </w:r>
          </w:p>
        </w:tc>
        <w:tc>
          <w:tcPr>
            <w:tcW w:w="3798" w:type="dxa"/>
            <w:vAlign w:val="center"/>
          </w:tcPr>
          <w:p w:rsidR="00096CE4" w:rsidRDefault="008A7A02">
            <w:pPr>
              <w:keepNext w:val="0"/>
              <w:spacing w:after="0" w:line="240" w:lineRule="auto"/>
              <w:ind w:firstLine="0"/>
              <w:jc w:val="center"/>
            </w:pPr>
            <w:r>
              <w:rPr>
                <w:rFonts w:eastAsia="Times New Roman" w:cs="Times New Roman"/>
                <w:sz w:val="21"/>
                <w:lang w:val="ru-RU"/>
              </w:rPr>
              <w:t>300 000 + 48 840</w:t>
            </w:r>
          </w:p>
        </w:tc>
        <w:tc>
          <w:tcPr>
            <w:tcW w:w="1701" w:type="dxa"/>
            <w:vAlign w:val="center"/>
          </w:tcPr>
          <w:p w:rsidR="00096CE4" w:rsidRDefault="008A7A02">
            <w:pPr>
              <w:keepNext w:val="0"/>
              <w:spacing w:after="0" w:line="240" w:lineRule="auto"/>
              <w:ind w:firstLine="0"/>
              <w:jc w:val="center"/>
            </w:pPr>
            <w:r>
              <w:rPr>
                <w:rFonts w:eastAsia="Times New Roman" w:cs="Times New Roman"/>
                <w:sz w:val="21"/>
                <w:lang w:val="ru-RU"/>
              </w:rPr>
              <w:t>348 840</w:t>
            </w:r>
          </w:p>
        </w:tc>
      </w:tr>
    </w:tbl>
    <w:p w:rsidR="00096CE4" w:rsidRDefault="00096CE4">
      <w:pPr>
        <w:spacing w:line="20" w:lineRule="exact"/>
        <w:ind w:firstLine="0"/>
      </w:pPr>
    </w:p>
    <w:p w:rsidR="00096CE4" w:rsidRDefault="008A7A02">
      <w:pPr>
        <w:jc w:val="both"/>
      </w:pPr>
      <w:r>
        <w:rPr>
          <w:rFonts w:eastAsia="Times New Roman" w:cs="Times New Roman"/>
          <w:lang w:val="ru-RU"/>
        </w:rPr>
        <w:t>В примере объект СН равен 264 000. Из рассчитанных 15 840 не вычитают СО 13 500. Удержания работника и начисления работодателя также не складываются для определения суммы к выдаче: работник получает 250 575, а учреждение признает совокупные расхо</w:t>
      </w:r>
      <w:r>
        <w:rPr>
          <w:rFonts w:eastAsia="Times New Roman" w:cs="Times New Roman"/>
          <w:lang w:val="ru-RU"/>
        </w:rPr>
        <w:t>ды 348 840 по соответствующим статьям.</w:t>
      </w:r>
    </w:p>
    <w:p w:rsidR="00096CE4" w:rsidRDefault="008A7A02">
      <w:pPr>
        <w:pStyle w:val="1"/>
        <w:keepNext/>
      </w:pPr>
      <w:r>
        <w:rPr>
          <w:rFonts w:ascii="Times New Roman" w:eastAsia="Times New Roman" w:hAnsi="Times New Roman" w:cs="Times New Roman"/>
          <w:lang w:val="ru-RU"/>
        </w:rPr>
        <w:t>Бухгалтерские записи и сверка</w:t>
      </w:r>
    </w:p>
    <w:p w:rsidR="00096CE4" w:rsidRDefault="008A7A02">
      <w:pPr>
        <w:jc w:val="both"/>
      </w:pPr>
      <w:r>
        <w:rPr>
          <w:rFonts w:eastAsia="Times New Roman" w:cs="Times New Roman"/>
          <w:lang w:val="ru-RU"/>
        </w:rPr>
        <w:t>Основное начисление зарплаты отражается записью дебет 7010 кредит 3241 на 300 000. Удержания по смыслу записей уменьшают задолженность перед работником и создают обязательства перед соо</w:t>
      </w:r>
      <w:r>
        <w:rPr>
          <w:rFonts w:eastAsia="Times New Roman" w:cs="Times New Roman"/>
          <w:lang w:val="ru-RU"/>
        </w:rPr>
        <w:t>тветствующими получателями. После удержаний остаток по расчетам с работником составляет 250 575. Конкретные счета платежей выбирают по виду обязательства в действующем Плане счетов. [Н4, Н20]</w:t>
      </w:r>
    </w:p>
    <w:p w:rsidR="00096CE4" w:rsidRDefault="008A7A02">
      <w:pPr>
        <w:jc w:val="both"/>
      </w:pPr>
      <w:r>
        <w:rPr>
          <w:rFonts w:eastAsia="Times New Roman" w:cs="Times New Roman"/>
          <w:lang w:val="ru-RU"/>
        </w:rPr>
        <w:t>Начисления работодателя отражаются отдельно: дебет соответствующ</w:t>
      </w:r>
      <w:r>
        <w:rPr>
          <w:rFonts w:eastAsia="Times New Roman" w:cs="Times New Roman"/>
          <w:lang w:val="ru-RU"/>
        </w:rPr>
        <w:t>их расходов и кредит соответствующих обязательств на общую сумму 48 840. Оплата погашает задолженность, не создавая повторного расхода. При полной оплате примера общая сумма перечислений равна 348 840: работнику 250 575, удержанные суммы 49 425, платежи ра</w:t>
      </w:r>
      <w:r>
        <w:rPr>
          <w:rFonts w:eastAsia="Times New Roman" w:cs="Times New Roman"/>
          <w:lang w:val="ru-RU"/>
        </w:rPr>
        <w:t>ботодателя 48 840.</w:t>
      </w:r>
    </w:p>
    <w:p w:rsidR="00096CE4" w:rsidRDefault="008A7A02">
      <w:pPr>
        <w:jc w:val="both"/>
      </w:pPr>
      <w:r>
        <w:rPr>
          <w:rFonts w:eastAsia="Times New Roman" w:cs="Times New Roman"/>
          <w:lang w:val="ru-RU"/>
        </w:rPr>
        <w:t xml:space="preserve">Контроль объединяет кадровый список, табель, расчетную ведомость и регистр обязательств. В разрезе каждого работника сверяют идентификатор, период, начисление, освобождения, вычеты и удержания. По платежам сопоставляют расчет и факт </w:t>
      </w:r>
      <w:r>
        <w:rPr>
          <w:rFonts w:eastAsia="Times New Roman" w:cs="Times New Roman"/>
          <w:lang w:val="ru-RU"/>
        </w:rPr>
        <w:t>перечисления с правильными реквизитами и периодом. Единый итог ведомости может скрывать ошибку в одном человеке или виде платежа.</w:t>
      </w:r>
    </w:p>
    <w:p>
      <w:pPr>
        <w:keepNext w:val="0"/>
        <w:jc w:val="both"/>
      </w:pPr>
      <w:r>
        <w:rPr>
          <w:rFonts w:eastAsia="Times New Roman" w:cs="Times New Roman"/>
          <w:lang w:val="ru-RU"/>
        </w:rPr>
        <w:t>Резерв по отпускам и текущая задолженность по начисленной заработной плате сверяются раздельно. Для отпуска проверяются накопленные дни, расчетная средняя заработная плата и применимые начисления работодателя. Для текущей выплаты — начисленный доход, удержания и перечисления. Акт сверки с фондом или бюджетом не заменяет проверку начислений по каждому работнику. [Н3–Н5, Н24; М39]</w:t>
      </w:r>
    </w:p>
    <w:p w:rsidR="00096CE4" w:rsidRDefault="008A7A02">
      <w:pPr>
        <w:pStyle w:val="1"/>
        <w:keepNext/>
      </w:pPr>
      <w:r>
        <w:rPr>
          <w:rFonts w:ascii="Times New Roman" w:eastAsia="Times New Roman" w:hAnsi="Times New Roman" w:cs="Times New Roman"/>
          <w:lang w:val="ru-RU"/>
        </w:rPr>
        <w:t>Проверка пределов на втором примере</w:t>
      </w:r>
    </w:p>
    <w:p w:rsidR="00096CE4" w:rsidRDefault="008A7A02">
      <w:pPr>
        <w:jc w:val="both"/>
      </w:pPr>
      <w:r>
        <w:rPr>
          <w:rFonts w:eastAsia="Times New Roman" w:cs="Times New Roman"/>
          <w:lang w:val="ru-RU"/>
        </w:rPr>
        <w:t>Если месячная зарплата по условию составляет 2 000 000 тенге, ВОСМС работника не равен 4</w:t>
      </w:r>
      <w:r>
        <w:rPr>
          <w:rFonts w:eastAsia="Times New Roman" w:cs="Times New Roman"/>
          <w:lang w:val="ru-RU"/>
        </w:rPr>
        <w:t>0 000. Верхняя база 1 700 000 дает 34 000. Отчисления работодателя на ОСМС равны 60 000, поскольку 2 000 000 ниже его верхней базы 3 400 000. Одинаковый доход использует разные ограничения для двух сторон.</w:t>
      </w:r>
    </w:p>
    <w:p w:rsidR="00096CE4" w:rsidRDefault="008A7A02">
      <w:pPr>
        <w:jc w:val="both"/>
      </w:pPr>
      <w:r>
        <w:rPr>
          <w:rFonts w:eastAsia="Times New Roman" w:cs="Times New Roman"/>
          <w:lang w:val="ru-RU"/>
        </w:rPr>
        <w:t>Для СО при применимой верхней базе 595 000 максима</w:t>
      </w:r>
      <w:r>
        <w:rPr>
          <w:rFonts w:eastAsia="Times New Roman" w:cs="Times New Roman"/>
          <w:lang w:val="ru-RU"/>
        </w:rPr>
        <w:t>льное начисление по ставке 5 процентов составит 29 750, а не 90 000 от дохода за вычетом ОПВ. Этот пример показывает, почему в расчетной модели должны отдельно храниться ставка, объект, минимальный и максимальный пределы и статус работника.</w:t>
      </w:r>
    </w:p>
    <w:p w:rsidR="00096CE4" w:rsidRDefault="008A7A02">
      <w:pPr>
        <w:pStyle w:val="1"/>
        <w:keepNext/>
      </w:pPr>
      <w:r>
        <w:rPr>
          <w:rFonts w:ascii="Times New Roman" w:eastAsia="Times New Roman" w:hAnsi="Times New Roman" w:cs="Times New Roman"/>
          <w:lang w:val="ru-RU"/>
        </w:rPr>
        <w:t>Частые ошибки</w:t>
      </w:r>
    </w:p>
    <w:p w:rsidR="00096CE4" w:rsidRDefault="008A7A02">
      <w:pPr>
        <w:pStyle w:val="a0"/>
        <w:ind w:left="510" w:hanging="170"/>
        <w:jc w:val="both"/>
      </w:pPr>
      <w:r>
        <w:rPr>
          <w:rFonts w:eastAsia="Times New Roman" w:cs="Times New Roman"/>
          <w:lang w:val="ru-RU"/>
        </w:rPr>
        <w:t>Удерживать начисления работодателя из заработной платы работника.</w:t>
      </w:r>
    </w:p>
    <w:p w:rsidR="00096CE4" w:rsidRDefault="008A7A02">
      <w:pPr>
        <w:pStyle w:val="a0"/>
        <w:ind w:left="510" w:hanging="170"/>
        <w:jc w:val="both"/>
      </w:pPr>
      <w:r>
        <w:rPr>
          <w:rFonts w:eastAsia="Times New Roman" w:cs="Times New Roman"/>
          <w:lang w:val="ru-RU"/>
        </w:rPr>
        <w:t>Повторно уменьшать выплату на сумму базового налогового вычета.</w:t>
      </w:r>
    </w:p>
    <w:p w:rsidR="00096CE4" w:rsidRDefault="008A7A02">
      <w:pPr>
        <w:pStyle w:val="a0"/>
        <w:ind w:left="510" w:hanging="170"/>
        <w:jc w:val="both"/>
      </w:pPr>
      <w:r>
        <w:rPr>
          <w:rFonts w:eastAsia="Times New Roman" w:cs="Times New Roman"/>
          <w:lang w:val="ru-RU"/>
        </w:rPr>
        <w:t>Применять один</w:t>
      </w:r>
      <w:r>
        <w:rPr>
          <w:rFonts w:eastAsia="Times New Roman" w:cs="Times New Roman"/>
          <w:lang w:val="ru-RU"/>
        </w:rPr>
        <w:t>аковую базу и предел ко всем платежам.</w:t>
      </w:r>
    </w:p>
    <w:p w:rsidR="00096CE4" w:rsidRDefault="008A7A02">
      <w:pPr>
        <w:pStyle w:val="a0"/>
        <w:ind w:left="510" w:hanging="170"/>
        <w:jc w:val="both"/>
      </w:pPr>
      <w:r>
        <w:rPr>
          <w:rFonts w:eastAsia="Times New Roman" w:cs="Times New Roman"/>
          <w:lang w:val="ru-RU"/>
        </w:rPr>
        <w:t>Уменьшать социальный налог 2026 года на социальные отчисления.</w:t>
      </w:r>
    </w:p>
    <w:p w:rsidR="00096CE4" w:rsidRDefault="008A7A02">
      <w:pPr>
        <w:pStyle w:val="a0"/>
        <w:ind w:left="510" w:hanging="170"/>
        <w:jc w:val="both"/>
      </w:pPr>
      <w:r>
        <w:rPr>
          <w:rFonts w:eastAsia="Times New Roman" w:cs="Times New Roman"/>
          <w:lang w:val="ru-RU"/>
        </w:rPr>
        <w:t>Использовать параметры прошлого года без проверки.</w:t>
      </w:r>
    </w:p>
    <w:p w:rsidR="00096CE4" w:rsidRDefault="008A7A02">
      <w:pPr>
        <w:pStyle w:val="1"/>
        <w:keepNext/>
      </w:pPr>
      <w:r>
        <w:rPr>
          <w:rFonts w:ascii="Times New Roman" w:eastAsia="Times New Roman" w:hAnsi="Times New Roman" w:cs="Times New Roman"/>
          <w:lang w:val="ru-RU"/>
        </w:rPr>
        <w:t>Вопросы для обсуждения</w:t>
      </w:r>
    </w:p>
    <w:p w:rsidR="00096CE4" w:rsidRDefault="008A7A02">
      <w:pPr>
        <w:jc w:val="both"/>
      </w:pPr>
      <w:r>
        <w:rPr>
          <w:rFonts w:eastAsia="Times New Roman" w:cs="Times New Roman"/>
          <w:lang w:val="ru-RU"/>
        </w:rPr>
        <w:t>1. Какие документы подтверждают оклад доплату и премию?</w:t>
      </w:r>
    </w:p>
    <w:p w:rsidR="00096CE4" w:rsidRDefault="008A7A02">
      <w:pPr>
        <w:jc w:val="both"/>
      </w:pPr>
      <w:r>
        <w:rPr>
          <w:rFonts w:eastAsia="Times New Roman" w:cs="Times New Roman"/>
          <w:lang w:val="ru-RU"/>
        </w:rPr>
        <w:t xml:space="preserve">2. Чем вычет отличается </w:t>
      </w:r>
      <w:r>
        <w:rPr>
          <w:rFonts w:eastAsia="Times New Roman" w:cs="Times New Roman"/>
          <w:lang w:val="ru-RU"/>
        </w:rPr>
        <w:t>от удержания из заработной платы?</w:t>
      </w:r>
    </w:p>
    <w:p w:rsidR="00096CE4" w:rsidRDefault="008A7A02">
      <w:pPr>
        <w:jc w:val="both"/>
      </w:pPr>
      <w:r>
        <w:rPr>
          <w:rFonts w:eastAsia="Times New Roman" w:cs="Times New Roman"/>
          <w:lang w:val="ru-RU"/>
        </w:rPr>
        <w:t>3. Почему расходы учреждения больше начисленной зарплаты?</w:t>
      </w:r>
    </w:p>
    <w:p w:rsidR="00096CE4" w:rsidRDefault="008A7A02">
      <w:pPr>
        <w:jc w:val="both"/>
      </w:pPr>
      <w:r>
        <w:rPr>
          <w:rFonts w:eastAsia="Times New Roman" w:cs="Times New Roman"/>
          <w:lang w:val="ru-RU"/>
        </w:rPr>
        <w:t>4. Как различаются пределы ОСМС для работника и работодателя?</w:t>
      </w:r>
    </w:p>
    <w:p w:rsidR="00096CE4" w:rsidRDefault="008A7A02">
      <w:pPr>
        <w:jc w:val="both"/>
      </w:pPr>
      <w:r>
        <w:rPr>
          <w:rFonts w:eastAsia="Times New Roman" w:cs="Times New Roman"/>
          <w:lang w:val="ru-RU"/>
        </w:rPr>
        <w:t>5. Почему расчет СО нельзя заменить расчетом СН?</w:t>
      </w:r>
    </w:p>
    <w:p w:rsidR="00096CE4" w:rsidRDefault="008A7A02">
      <w:pPr>
        <w:jc w:val="both"/>
      </w:pPr>
      <w:r>
        <w:rPr>
          <w:rFonts w:eastAsia="Times New Roman" w:cs="Times New Roman"/>
          <w:lang w:val="ru-RU"/>
        </w:rPr>
        <w:t>6. Какие сверки подтверждают расчет и перечисление по каждому</w:t>
      </w:r>
      <w:r>
        <w:rPr>
          <w:rFonts w:eastAsia="Times New Roman" w:cs="Times New Roman"/>
          <w:lang w:val="ru-RU"/>
        </w:rPr>
        <w:t xml:space="preserve"> работнику?</w:t>
      </w:r>
    </w:p>
    <w:p w:rsidR="00096CE4" w:rsidRDefault="008A7A02">
      <w:pPr>
        <w:pStyle w:val="1"/>
        <w:keepNext/>
        <w:pageBreakBefore/>
      </w:pPr>
      <w:r>
        <w:rPr>
          <w:rFonts w:ascii="Times New Roman" w:eastAsia="Times New Roman" w:hAnsi="Times New Roman" w:cs="Times New Roman"/>
          <w:lang w:val="ru-RU"/>
        </w:rPr>
        <w:t>Литература и нормативные источники</w:t>
      </w:r>
    </w:p>
    <w:p>
      <w:pPr>
        <w:spacing w:after="40"/>
      </w:pPr>
      <w:r>
        <w:t>НПА приведены в редакциях, действующих на 27 октября 2026 года. МСФО ОС — по материалам IPSASB; даты начала применения отдельных стандартов указаны в тексте.</w:t>
      </w:r>
    </w:p>
    <w:p>
      <w:pPr>
        <w:spacing w:after="40"/>
      </w:pPr>
      <w:r>
        <w:t xml:space="preserve">[Н3] </w:t>
      </w:r>
      <w:hyperlink r:id="rId8">
        <w:r>
          <w:rPr>
            <w:rFonts w:ascii="Times New Roman" w:hAnsi="Times New Roman"/>
            <w:sz w:val="24"/>
          </w:rPr>
          <w:t>Приказ Министра финансов РК от 12 мая 2025 года № 223 «Об утверждении Правил ведения бухгалтерского учета в государственных учреждениях».</w:t>
        </w:r>
      </w:hyperlink>
    </w:p>
    <w:p>
      <w:pPr>
        <w:spacing w:after="40"/>
      </w:pPr>
      <w:r>
        <w:t xml:space="preserve">[Н4] </w:t>
      </w:r>
      <w:hyperlink r:id="rId9">
        <w:r>
          <w:rPr>
            <w:rFonts w:ascii="Times New Roman" w:hAnsi="Times New Roman"/>
            <w:sz w:val="24"/>
          </w:rPr>
          <w:t>Приказ Министра финансов РК от 16 апреля 2025 года № 170 «Об утверждении Плана счетов бухгалтерского учета государственных учреждений».</w:t>
        </w:r>
      </w:hyperlink>
    </w:p>
    <w:p>
      <w:pPr>
        <w:spacing w:after="40"/>
      </w:pPr>
      <w:r>
        <w:t xml:space="preserve">[Н5] </w:t>
      </w:r>
      <w:hyperlink r:id="rId21">
        <w:r>
          <w:rPr>
            <w:rFonts w:ascii="Times New Roman" w:hAnsi="Times New Roman"/>
            <w:sz w:val="24"/>
          </w:rPr>
          <w:t>Приказ Министра финансов РК от 24 апреля 2025 года № 191 «Об утверждении Учетной политики».</w:t>
        </w:r>
      </w:hyperlink>
    </w:p>
    <w:p>
      <w:pPr>
        <w:spacing w:after="40"/>
      </w:pPr>
      <w:r>
        <w:t xml:space="preserve">[Н13] </w:t>
      </w:r>
      <w:hyperlink r:id="rId10">
        <w:r>
          <w:rPr>
            <w:rFonts w:ascii="Times New Roman" w:hAnsi="Times New Roman"/>
            <w:sz w:val="24"/>
          </w:rPr>
          <w:t>Налоговый кодекс РК от 18 июля 2025 года № 214-VIII, положения об ИПН и социальном налоге.</w:t>
        </w:r>
      </w:hyperlink>
    </w:p>
    <w:p>
      <w:pPr>
        <w:spacing w:after="40"/>
      </w:pPr>
      <w:r>
        <w:t xml:space="preserve">[Н14] </w:t>
      </w:r>
      <w:hyperlink r:id="rId11">
        <w:r>
          <w:rPr>
            <w:rFonts w:ascii="Times New Roman" w:hAnsi="Times New Roman"/>
            <w:sz w:val="24"/>
          </w:rPr>
          <w:t>ДГД по ВКО. Основные изменения в Налоговом кодексе РК с 1 января 2026 года: ИПН и социальный налог.</w:t>
        </w:r>
      </w:hyperlink>
    </w:p>
    <w:p>
      <w:pPr>
        <w:spacing w:after="40"/>
      </w:pPr>
      <w:r>
        <w:t xml:space="preserve">[Н15] </w:t>
      </w:r>
      <w:hyperlink r:id="rId12">
        <w:r>
          <w:rPr>
            <w:rFonts w:ascii="Times New Roman" w:hAnsi="Times New Roman"/>
            <w:sz w:val="24"/>
          </w:rPr>
          <w:t>ДГД по ВКО. Социальные платежи в Республике Казахстан.</w:t>
        </w:r>
      </w:hyperlink>
    </w:p>
    <w:p>
      <w:pPr>
        <w:spacing w:after="40"/>
      </w:pPr>
      <w:r>
        <w:t xml:space="preserve">[Н16] </w:t>
      </w:r>
      <w:hyperlink r:id="rId13">
        <w:r>
          <w:rPr>
            <w:rFonts w:ascii="Times New Roman" w:hAnsi="Times New Roman"/>
            <w:sz w:val="24"/>
          </w:rPr>
          <w:t>ДГД по Павлодарской области. Разъяснение базового вычета по ИПН в размере 30 МРП в 2026 году.</w:t>
        </w:r>
      </w:hyperlink>
    </w:p>
    <w:p>
      <w:pPr>
        <w:spacing w:after="40"/>
      </w:pPr>
      <w:r>
        <w:t xml:space="preserve">[Н17] </w:t>
      </w:r>
      <w:hyperlink r:id="rId14">
        <w:r>
          <w:rPr>
            <w:rFonts w:ascii="Times New Roman" w:hAnsi="Times New Roman"/>
            <w:sz w:val="24"/>
          </w:rPr>
          <w:t>Управление общественного здравоохранения города Алматы. Что изменится в ОСМС в 2026 году.</w:t>
        </w:r>
      </w:hyperlink>
    </w:p>
    <w:p>
      <w:pPr>
        <w:spacing w:after="40"/>
      </w:pPr>
      <w:r>
        <w:t xml:space="preserve">[Н18] </w:t>
      </w:r>
      <w:hyperlink r:id="rId15">
        <w:r>
          <w:rPr>
            <w:rFonts w:ascii="Times New Roman" w:hAnsi="Times New Roman"/>
            <w:sz w:val="24"/>
          </w:rPr>
          <w:t>Постановление Правительства РК от 31 декабря 2015 года № 1193 «О системе оплаты труда гражданских служащих, работников организаций, содержащихся за счет средств государственного бюджета, работников казенных предприятий».</w:t>
        </w:r>
      </w:hyperlink>
    </w:p>
    <w:p>
      <w:pPr>
        <w:spacing w:after="40"/>
      </w:pPr>
      <w:r>
        <w:t xml:space="preserve">[Н20] </w:t>
      </w:r>
      <w:hyperlink r:id="rId17">
        <w:r>
          <w:rPr>
            <w:rFonts w:ascii="Times New Roman" w:hAnsi="Times New Roman"/>
            <w:sz w:val="24"/>
          </w:rPr>
          <w:t>Приказ Министра финансов РК от 25 ноября 2025 года № 721 о внесении изменений в План счетов № 170, действующих с 1 января 2026 года.</w:t>
        </w:r>
      </w:hyperlink>
    </w:p>
    <w:p>
      <w:pPr>
        <w:spacing w:after="40"/>
      </w:pPr>
      <w:r>
        <w:t xml:space="preserve">[Н21] </w:t>
      </w:r>
      <w:hyperlink r:id="rId22">
        <w:r>
          <w:rPr>
            <w:rFonts w:ascii="Times New Roman" w:hAnsi="Times New Roman"/>
            <w:sz w:val="24"/>
          </w:rPr>
          <w:t>Социальный кодекс РК от 20 апреля 2023 года № 224-VII: обязательные пенсионные взносы и социальные отчисления.</w:t>
        </w:r>
      </w:hyperlink>
    </w:p>
    <w:p>
      <w:pPr>
        <w:spacing w:after="40"/>
      </w:pPr>
      <w:r>
        <w:t xml:space="preserve">[Н22] </w:t>
      </w:r>
      <w:hyperlink r:id="rId23">
        <w:r>
          <w:rPr>
            <w:rFonts w:ascii="Times New Roman" w:hAnsi="Times New Roman"/>
            <w:sz w:val="24"/>
          </w:rPr>
          <w:t>Трудовой кодекс РК от 23 ноября 2015 года № 414-V.</w:t>
        </w:r>
      </w:hyperlink>
    </w:p>
    <w:p>
      <w:pPr>
        <w:spacing w:after="40"/>
      </w:pPr>
      <w:r>
        <w:t xml:space="preserve">[Н23] </w:t>
      </w:r>
      <w:hyperlink r:id="rId24">
        <w:r>
          <w:rPr>
            <w:rFonts w:ascii="Times New Roman" w:hAnsi="Times New Roman"/>
            <w:sz w:val="24"/>
          </w:rPr>
          <w:t>Закон РК от 16 ноября 2015 года № 405-V «Об обязательном социальном медицинском страховании».</w:t>
        </w:r>
      </w:hyperlink>
    </w:p>
    <w:p>
      <w:pPr>
        <w:spacing w:after="40"/>
      </w:pPr>
      <w:r>
        <w:t xml:space="preserve">[Н24] </w:t>
      </w:r>
      <w:hyperlink r:id="rId25">
        <w:r>
          <w:rPr>
            <w:rFonts w:ascii="Times New Roman" w:hAnsi="Times New Roman"/>
            <w:sz w:val="24"/>
          </w:rPr>
          <w:t>Приказ Министра здравоохранения и социального развития РК от 30 ноября 2015 года № 908 «Об утверждении Единых правил исчисления средней заработной платы».</w:t>
        </w:r>
      </w:hyperlink>
    </w:p>
    <w:p>
      <w:pPr>
        <w:spacing w:after="40"/>
      </w:pPr>
      <w:r>
        <w:t xml:space="preserve">[Н25] </w:t>
      </w:r>
      <w:hyperlink r:id="rId26">
        <w:r>
          <w:rPr>
            <w:rFonts w:ascii="Times New Roman" w:hAnsi="Times New Roman"/>
            <w:sz w:val="24"/>
          </w:rPr>
          <w:t>Электронное правительство РК. Минимальные расчетные показатели: МРП и МЗП на 2026 год.</w:t>
        </w:r>
      </w:hyperlink>
    </w:p>
    <w:p>
      <w:pPr>
        <w:spacing w:after="40"/>
      </w:pPr>
      <w:r>
        <w:t xml:space="preserve">[М39] </w:t>
      </w:r>
      <w:hyperlink r:id="rId27">
        <w:r>
          <w:rPr>
            <w:rFonts w:ascii="Times New Roman" w:hAnsi="Times New Roman"/>
            <w:sz w:val="24"/>
          </w:rPr>
          <w:t>МСФО ОС (IPSAS) 39 «Вознаграждения работникам». IPSASB, редакция сборника 2026 года.</w:t>
        </w:r>
      </w:hyperlink>
    </w:p>
    <w:p>
      <w:pPr>
        <w:spacing w:after="40"/>
      </w:pPr>
      <w:r>
        <w:t>Учебная литература: [Л1] и [Л5] в программе курса.</w:t>
      </w:r>
    </w:p>
    <w:sectPr w:rsidR="00096CE4" w:rsidSect="00034616">
      <w:footerReference w:type="default" r:id="rId18"/>
      <w:pgSz w:w="11906" w:h="16838"/>
      <w:pgMar w:top="1134" w:right="1134" w:bottom="1134" w:left="1304" w:header="454" w:footer="454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A7A02" w:rsidRDefault="008A7A02">
      <w:pPr>
        <w:spacing w:after="0" w:line="240" w:lineRule="auto"/>
      </w:pPr>
      <w:r>
        <w:separator/>
      </w:r>
    </w:p>
  </w:endnote>
  <w:endnote w:type="continuationSeparator" w:id="0">
    <w:p w:rsidR="008A7A02" w:rsidRDefault="008A7A0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309020205020404"/>
    <w:charset w:val="00"/>
    <w:family w:val="auto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96CE4" w:rsidRDefault="008A7A02">
    <w:pPr>
      <w:pStyle w:val="a7"/>
      <w:jc w:val="right"/>
    </w:pPr>
    <w:r>
      <w:fldChar w:fldCharType="begin"/>
    </w:r>
    <w:r>
      <w:instrText>PAGE</w:instrText>
    </w:r>
    <w:r>
      <w:fldChar w:fldCharType="separate"/>
    </w:r>
    <w:r>
      <w:rPr>
        <w:noProof/>
      </w:rPr>
      <w:t>1</w:t>
    </w:r>
    <w: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A7A02" w:rsidRDefault="008A7A02">
      <w:pPr>
        <w:spacing w:after="0" w:line="240" w:lineRule="auto"/>
      </w:pPr>
      <w:r>
        <w:separator/>
      </w:r>
    </w:p>
  </w:footnote>
  <w:footnote w:type="continuationSeparator" w:id="0">
    <w:p w:rsidR="008A7A02" w:rsidRDefault="008A7A02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30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20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a0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096CE4"/>
    <w:rsid w:val="0015074B"/>
    <w:rsid w:val="0029639D"/>
    <w:rsid w:val="00326F90"/>
    <w:rsid w:val="00496101"/>
    <w:rsid w:val="008A7A02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efaultImageDpi w14:val="300"/>
  <w15:docId w15:val="{6164B0A3-A2CC-4920-90EB-B2E1AC43CD2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1">
    <w:name w:val="Normal"/>
    <w:qFormat/>
    <w:rsid w:val="00FC693F"/>
    <w:pPr>
      <w:spacing w:after="80" w:line="264" w:lineRule="auto"/>
      <w:ind w:firstLine="709"/>
    </w:pPr>
    <w:rPr>
      <w:rFonts w:ascii="Times New Roman" w:hAnsi="Times New Roman"/>
      <w:color w:val="000000"/>
      <w:sz w:val="24"/>
    </w:rPr>
  </w:style>
  <w:style w:type="paragraph" w:styleId="1">
    <w:name w:val="heading 1"/>
    <w:basedOn w:val="a1"/>
    <w:next w:val="a1"/>
    <w:link w:val="10"/>
    <w:uiPriority w:val="9"/>
    <w:qFormat/>
    <w:rsid w:val="00FC693F"/>
    <w:pPr>
      <w:keepNext/>
      <w:keepLines/>
      <w:spacing w:before="160"/>
      <w:outlineLvl w:val="0"/>
    </w:pPr>
    <w:rPr>
      <w:rFonts w:asciiTheme="majorHAnsi" w:eastAsiaTheme="majorEastAsia" w:hAnsiTheme="majorHAnsi" w:cstheme="majorBidi"/>
      <w:b/>
      <w:bCs/>
      <w:szCs w:val="28"/>
    </w:rPr>
  </w:style>
  <w:style w:type="paragraph" w:styleId="21">
    <w:name w:val="heading 2"/>
    <w:basedOn w:val="a1"/>
    <w:next w:val="a1"/>
    <w:link w:val="22"/>
    <w:uiPriority w:val="9"/>
    <w:unhideWhenUsed/>
    <w:qFormat/>
    <w:rsid w:val="00FC693F"/>
    <w:pPr>
      <w:keepNext/>
      <w:keepLines/>
      <w:spacing w:before="160"/>
      <w:outlineLvl w:val="1"/>
    </w:pPr>
    <w:rPr>
      <w:rFonts w:asciiTheme="majorHAnsi" w:eastAsiaTheme="majorEastAsia" w:hAnsiTheme="majorHAnsi" w:cstheme="majorBidi"/>
      <w:b/>
      <w:bCs/>
      <w:szCs w:val="26"/>
    </w:rPr>
  </w:style>
  <w:style w:type="paragraph" w:styleId="31">
    <w:name w:val="heading 3"/>
    <w:basedOn w:val="a1"/>
    <w:next w:val="a1"/>
    <w:link w:val="32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1"/>
    <w:next w:val="a1"/>
    <w:link w:val="40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basedOn w:val="a1"/>
    <w:next w:val="a1"/>
    <w:link w:val="50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1"/>
    <w:next w:val="a1"/>
    <w:link w:val="60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1"/>
    <w:next w:val="a1"/>
    <w:link w:val="70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1"/>
    <w:next w:val="a1"/>
    <w:link w:val="80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9">
    <w:name w:val="heading 9"/>
    <w:basedOn w:val="a1"/>
    <w:next w:val="a1"/>
    <w:link w:val="90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styleId="a5">
    <w:name w:val="header"/>
    <w:basedOn w:val="a1"/>
    <w:link w:val="a6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6">
    <w:name w:val="Верхний колонтитул Знак"/>
    <w:basedOn w:val="a2"/>
    <w:link w:val="a5"/>
    <w:uiPriority w:val="99"/>
    <w:rsid w:val="00E618BF"/>
  </w:style>
  <w:style w:type="paragraph" w:styleId="a7">
    <w:name w:val="footer"/>
    <w:basedOn w:val="a1"/>
    <w:link w:val="a8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8">
    <w:name w:val="Нижний колонтитул Знак"/>
    <w:basedOn w:val="a2"/>
    <w:link w:val="a7"/>
    <w:uiPriority w:val="99"/>
    <w:rsid w:val="00E618BF"/>
  </w:style>
  <w:style w:type="paragraph" w:styleId="a9">
    <w:name w:val="No Spacing"/>
    <w:uiPriority w:val="1"/>
    <w:qFormat/>
    <w:rsid w:val="00FC693F"/>
    <w:pPr>
      <w:spacing w:after="0" w:line="240" w:lineRule="auto"/>
    </w:pPr>
  </w:style>
  <w:style w:type="character" w:customStyle="1" w:styleId="10">
    <w:name w:val="Заголовок 1 Знак"/>
    <w:basedOn w:val="a2"/>
    <w:link w:val="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2">
    <w:name w:val="Заголовок 2 Знак"/>
    <w:basedOn w:val="a2"/>
    <w:link w:val="2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2">
    <w:name w:val="Заголовок 3 Знак"/>
    <w:basedOn w:val="a2"/>
    <w:link w:val="3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aa">
    <w:name w:val="Title"/>
    <w:basedOn w:val="a1"/>
    <w:next w:val="a1"/>
    <w:link w:val="ab"/>
    <w:uiPriority w:val="10"/>
    <w:qFormat/>
    <w:rsid w:val="00FC693F"/>
    <w:pPr>
      <w:contextualSpacing/>
    </w:pPr>
    <w:rPr>
      <w:rFonts w:asciiTheme="majorHAnsi" w:eastAsiaTheme="majorEastAsia" w:hAnsiTheme="majorHAnsi" w:cstheme="majorBidi"/>
      <w:b/>
      <w:spacing w:val="5"/>
      <w:kern w:val="28"/>
      <w:szCs w:val="52"/>
    </w:rPr>
  </w:style>
  <w:style w:type="character" w:customStyle="1" w:styleId="ab">
    <w:name w:val="Заголовок Знак"/>
    <w:basedOn w:val="a2"/>
    <w:link w:val="aa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c">
    <w:name w:val="Subtitle"/>
    <w:basedOn w:val="a1"/>
    <w:next w:val="a1"/>
    <w:link w:val="ad"/>
    <w:uiPriority w:val="11"/>
    <w:qFormat/>
    <w:rsid w:val="00FC693F"/>
    <w:pPr>
      <w:numPr>
        <w:ilvl w:val="1"/>
      </w:numPr>
      <w:ind w:firstLine="709"/>
    </w:pPr>
    <w:rPr>
      <w:rFonts w:asciiTheme="majorHAnsi" w:eastAsiaTheme="majorEastAsia" w:hAnsiTheme="majorHAnsi" w:cstheme="majorBidi"/>
      <w:i/>
      <w:iCs/>
      <w:color w:val="4F81BD" w:themeColor="accent1"/>
      <w:spacing w:val="15"/>
      <w:szCs w:val="24"/>
    </w:rPr>
  </w:style>
  <w:style w:type="character" w:customStyle="1" w:styleId="ad">
    <w:name w:val="Подзаголовок Знак"/>
    <w:basedOn w:val="a2"/>
    <w:link w:val="ac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e">
    <w:name w:val="List Paragraph"/>
    <w:basedOn w:val="a1"/>
    <w:uiPriority w:val="34"/>
    <w:qFormat/>
    <w:rsid w:val="00FC693F"/>
    <w:pPr>
      <w:ind w:left="720"/>
      <w:contextualSpacing/>
    </w:pPr>
  </w:style>
  <w:style w:type="paragraph" w:styleId="af">
    <w:name w:val="Body Text"/>
    <w:basedOn w:val="a1"/>
    <w:link w:val="af0"/>
    <w:uiPriority w:val="99"/>
    <w:unhideWhenUsed/>
    <w:rsid w:val="00AA1D8D"/>
    <w:pPr>
      <w:spacing w:after="120"/>
    </w:pPr>
  </w:style>
  <w:style w:type="character" w:customStyle="1" w:styleId="af0">
    <w:name w:val="Основной текст Знак"/>
    <w:basedOn w:val="a2"/>
    <w:link w:val="af"/>
    <w:uiPriority w:val="99"/>
    <w:rsid w:val="00AA1D8D"/>
  </w:style>
  <w:style w:type="paragraph" w:styleId="23">
    <w:name w:val="Body Text 2"/>
    <w:basedOn w:val="a1"/>
    <w:link w:val="24"/>
    <w:uiPriority w:val="99"/>
    <w:unhideWhenUsed/>
    <w:rsid w:val="00AA1D8D"/>
    <w:pPr>
      <w:spacing w:after="120" w:line="480" w:lineRule="auto"/>
    </w:pPr>
  </w:style>
  <w:style w:type="character" w:customStyle="1" w:styleId="24">
    <w:name w:val="Основной текст 2 Знак"/>
    <w:basedOn w:val="a2"/>
    <w:link w:val="23"/>
    <w:uiPriority w:val="99"/>
    <w:rsid w:val="00AA1D8D"/>
  </w:style>
  <w:style w:type="paragraph" w:styleId="33">
    <w:name w:val="Body Text 3"/>
    <w:basedOn w:val="a1"/>
    <w:link w:val="34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34">
    <w:name w:val="Основной текст 3 Знак"/>
    <w:basedOn w:val="a2"/>
    <w:link w:val="33"/>
    <w:uiPriority w:val="99"/>
    <w:rsid w:val="00AA1D8D"/>
    <w:rPr>
      <w:sz w:val="16"/>
      <w:szCs w:val="16"/>
    </w:rPr>
  </w:style>
  <w:style w:type="paragraph" w:styleId="af1">
    <w:name w:val="List"/>
    <w:basedOn w:val="a1"/>
    <w:uiPriority w:val="99"/>
    <w:unhideWhenUsed/>
    <w:rsid w:val="00AA1D8D"/>
    <w:pPr>
      <w:ind w:left="360" w:hanging="360"/>
      <w:contextualSpacing/>
    </w:pPr>
  </w:style>
  <w:style w:type="paragraph" w:styleId="25">
    <w:name w:val="List 2"/>
    <w:basedOn w:val="a1"/>
    <w:uiPriority w:val="99"/>
    <w:unhideWhenUsed/>
    <w:rsid w:val="00326F90"/>
    <w:pPr>
      <w:ind w:left="720" w:hanging="360"/>
      <w:contextualSpacing/>
    </w:pPr>
  </w:style>
  <w:style w:type="paragraph" w:styleId="35">
    <w:name w:val="List 3"/>
    <w:basedOn w:val="a1"/>
    <w:uiPriority w:val="99"/>
    <w:unhideWhenUsed/>
    <w:rsid w:val="00326F90"/>
    <w:pPr>
      <w:ind w:left="1080" w:hanging="360"/>
      <w:contextualSpacing/>
    </w:pPr>
  </w:style>
  <w:style w:type="paragraph" w:styleId="a0">
    <w:name w:val="List Bullet"/>
    <w:basedOn w:val="a1"/>
    <w:uiPriority w:val="99"/>
    <w:unhideWhenUsed/>
    <w:rsid w:val="00326F90"/>
    <w:pPr>
      <w:numPr>
        <w:numId w:val="1"/>
      </w:numPr>
      <w:contextualSpacing/>
    </w:pPr>
  </w:style>
  <w:style w:type="paragraph" w:styleId="20">
    <w:name w:val="List Bullet 2"/>
    <w:basedOn w:val="a1"/>
    <w:uiPriority w:val="99"/>
    <w:unhideWhenUsed/>
    <w:rsid w:val="00326F90"/>
    <w:pPr>
      <w:numPr>
        <w:numId w:val="2"/>
      </w:numPr>
      <w:contextualSpacing/>
    </w:pPr>
  </w:style>
  <w:style w:type="paragraph" w:styleId="30">
    <w:name w:val="List Bullet 3"/>
    <w:basedOn w:val="a1"/>
    <w:uiPriority w:val="99"/>
    <w:unhideWhenUsed/>
    <w:rsid w:val="00326F90"/>
    <w:pPr>
      <w:numPr>
        <w:numId w:val="3"/>
      </w:numPr>
      <w:contextualSpacing/>
    </w:pPr>
  </w:style>
  <w:style w:type="paragraph" w:styleId="a">
    <w:name w:val="List Number"/>
    <w:basedOn w:val="a1"/>
    <w:uiPriority w:val="99"/>
    <w:unhideWhenUsed/>
    <w:rsid w:val="00326F90"/>
    <w:pPr>
      <w:numPr>
        <w:numId w:val="5"/>
      </w:numPr>
      <w:contextualSpacing/>
    </w:pPr>
  </w:style>
  <w:style w:type="paragraph" w:styleId="2">
    <w:name w:val="List Number 2"/>
    <w:basedOn w:val="a1"/>
    <w:uiPriority w:val="99"/>
    <w:unhideWhenUsed/>
    <w:rsid w:val="0029639D"/>
    <w:pPr>
      <w:numPr>
        <w:numId w:val="6"/>
      </w:numPr>
      <w:contextualSpacing/>
    </w:pPr>
  </w:style>
  <w:style w:type="paragraph" w:styleId="3">
    <w:name w:val="List Number 3"/>
    <w:basedOn w:val="a1"/>
    <w:uiPriority w:val="99"/>
    <w:unhideWhenUsed/>
    <w:rsid w:val="0029639D"/>
    <w:pPr>
      <w:numPr>
        <w:numId w:val="7"/>
      </w:numPr>
      <w:contextualSpacing/>
    </w:pPr>
  </w:style>
  <w:style w:type="paragraph" w:styleId="af2">
    <w:name w:val="List Continue"/>
    <w:basedOn w:val="a1"/>
    <w:uiPriority w:val="99"/>
    <w:unhideWhenUsed/>
    <w:rsid w:val="0029639D"/>
    <w:pPr>
      <w:spacing w:after="120"/>
      <w:ind w:left="360"/>
      <w:contextualSpacing/>
    </w:pPr>
  </w:style>
  <w:style w:type="paragraph" w:styleId="26">
    <w:name w:val="List Continue 2"/>
    <w:basedOn w:val="a1"/>
    <w:uiPriority w:val="99"/>
    <w:unhideWhenUsed/>
    <w:rsid w:val="0029639D"/>
    <w:pPr>
      <w:spacing w:after="120"/>
      <w:ind w:left="720"/>
      <w:contextualSpacing/>
    </w:pPr>
  </w:style>
  <w:style w:type="paragraph" w:styleId="36">
    <w:name w:val="List Continue 3"/>
    <w:basedOn w:val="a1"/>
    <w:uiPriority w:val="99"/>
    <w:unhideWhenUsed/>
    <w:rsid w:val="0029639D"/>
    <w:pPr>
      <w:spacing w:after="120"/>
      <w:ind w:left="1080"/>
      <w:contextualSpacing/>
    </w:pPr>
  </w:style>
  <w:style w:type="paragraph" w:styleId="af3">
    <w:name w:val="macro"/>
    <w:link w:val="af4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af4">
    <w:name w:val="Текст макроса Знак"/>
    <w:basedOn w:val="a2"/>
    <w:link w:val="af3"/>
    <w:uiPriority w:val="99"/>
    <w:rsid w:val="0029639D"/>
    <w:rPr>
      <w:rFonts w:ascii="Courier" w:hAnsi="Courier"/>
      <w:sz w:val="20"/>
      <w:szCs w:val="20"/>
    </w:rPr>
  </w:style>
  <w:style w:type="paragraph" w:styleId="27">
    <w:name w:val="Quote"/>
    <w:basedOn w:val="a1"/>
    <w:next w:val="a1"/>
    <w:link w:val="28"/>
    <w:uiPriority w:val="29"/>
    <w:qFormat/>
    <w:rsid w:val="00FC693F"/>
    <w:rPr>
      <w:i/>
      <w:iCs/>
      <w:color w:val="000000" w:themeColor="text1"/>
    </w:rPr>
  </w:style>
  <w:style w:type="character" w:customStyle="1" w:styleId="28">
    <w:name w:val="Цитата 2 Знак"/>
    <w:basedOn w:val="a2"/>
    <w:link w:val="27"/>
    <w:uiPriority w:val="29"/>
    <w:rsid w:val="00FC693F"/>
    <w:rPr>
      <w:i/>
      <w:iCs/>
      <w:color w:val="000000" w:themeColor="text1"/>
    </w:rPr>
  </w:style>
  <w:style w:type="character" w:customStyle="1" w:styleId="40">
    <w:name w:val="Заголовок 4 Знак"/>
    <w:basedOn w:val="a2"/>
    <w:link w:val="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50">
    <w:name w:val="Заголовок 5 Знак"/>
    <w:basedOn w:val="a2"/>
    <w:link w:val="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60">
    <w:name w:val="Заголовок 6 Знак"/>
    <w:basedOn w:val="a2"/>
    <w:link w:val="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70">
    <w:name w:val="Заголовок 7 Знак"/>
    <w:basedOn w:val="a2"/>
    <w:link w:val="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80">
    <w:name w:val="Заголовок 8 Знак"/>
    <w:basedOn w:val="a2"/>
    <w:link w:val="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90">
    <w:name w:val="Заголовок 9 Знак"/>
    <w:basedOn w:val="a2"/>
    <w:link w:val="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af5">
    <w:name w:val="caption"/>
    <w:basedOn w:val="a1"/>
    <w:next w:val="a1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af6">
    <w:name w:val="Strong"/>
    <w:basedOn w:val="a2"/>
    <w:uiPriority w:val="22"/>
    <w:qFormat/>
    <w:rsid w:val="00FC693F"/>
    <w:rPr>
      <w:b/>
      <w:bCs/>
    </w:rPr>
  </w:style>
  <w:style w:type="character" w:styleId="af7">
    <w:name w:val="Emphasis"/>
    <w:basedOn w:val="a2"/>
    <w:uiPriority w:val="20"/>
    <w:qFormat/>
    <w:rsid w:val="00FC693F"/>
    <w:rPr>
      <w:i/>
      <w:iCs/>
    </w:rPr>
  </w:style>
  <w:style w:type="paragraph" w:styleId="af8">
    <w:name w:val="Intense Quote"/>
    <w:basedOn w:val="a1"/>
    <w:next w:val="a1"/>
    <w:link w:val="af9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af9">
    <w:name w:val="Выделенная цитата Знак"/>
    <w:basedOn w:val="a2"/>
    <w:link w:val="af8"/>
    <w:uiPriority w:val="30"/>
    <w:rsid w:val="00FC693F"/>
    <w:rPr>
      <w:b/>
      <w:bCs/>
      <w:i/>
      <w:iCs/>
      <w:color w:val="4F81BD" w:themeColor="accent1"/>
    </w:rPr>
  </w:style>
  <w:style w:type="character" w:styleId="afa">
    <w:name w:val="Subtle Emphasis"/>
    <w:basedOn w:val="a2"/>
    <w:uiPriority w:val="19"/>
    <w:qFormat/>
    <w:rsid w:val="00FC693F"/>
    <w:rPr>
      <w:i/>
      <w:iCs/>
      <w:color w:val="808080" w:themeColor="text1" w:themeTint="7F"/>
    </w:rPr>
  </w:style>
  <w:style w:type="character" w:styleId="afb">
    <w:name w:val="Intense Emphasis"/>
    <w:basedOn w:val="a2"/>
    <w:uiPriority w:val="21"/>
    <w:qFormat/>
    <w:rsid w:val="00FC693F"/>
    <w:rPr>
      <w:b/>
      <w:bCs/>
      <w:i/>
      <w:iCs/>
      <w:color w:val="4F81BD" w:themeColor="accent1"/>
    </w:rPr>
  </w:style>
  <w:style w:type="character" w:styleId="afc">
    <w:name w:val="Subtle Reference"/>
    <w:basedOn w:val="a2"/>
    <w:uiPriority w:val="31"/>
    <w:qFormat/>
    <w:rsid w:val="00FC693F"/>
    <w:rPr>
      <w:smallCaps/>
      <w:color w:val="C0504D" w:themeColor="accent2"/>
      <w:u w:val="single"/>
    </w:rPr>
  </w:style>
  <w:style w:type="character" w:styleId="afd">
    <w:name w:val="Intense Reference"/>
    <w:basedOn w:val="a2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afe">
    <w:name w:val="Book Title"/>
    <w:basedOn w:val="a2"/>
    <w:uiPriority w:val="33"/>
    <w:qFormat/>
    <w:rsid w:val="00FC693F"/>
    <w:rPr>
      <w:b/>
      <w:bCs/>
      <w:smallCaps/>
      <w:spacing w:val="5"/>
    </w:rPr>
  </w:style>
  <w:style w:type="paragraph" w:styleId="aff">
    <w:name w:val="TOC Heading"/>
    <w:basedOn w:val="1"/>
    <w:next w:val="a1"/>
    <w:uiPriority w:val="39"/>
    <w:semiHidden/>
    <w:unhideWhenUsed/>
    <w:qFormat/>
    <w:rsid w:val="00FC693F"/>
    <w:pPr>
      <w:outlineLvl w:val="9"/>
    </w:pPr>
  </w:style>
  <w:style w:type="table" w:styleId="aff0">
    <w:name w:val="Table Grid"/>
    <w:basedOn w:val="a3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ff1">
    <w:name w:val="Light Shading"/>
    <w:basedOn w:val="a3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-1">
    <w:name w:val="Light Shading Accent 1"/>
    <w:basedOn w:val="a3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-2">
    <w:name w:val="Light Shading Accent 2"/>
    <w:basedOn w:val="a3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-3">
    <w:name w:val="Light Shading Accent 3"/>
    <w:basedOn w:val="a3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-4">
    <w:name w:val="Light Shading Accent 4"/>
    <w:basedOn w:val="a3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-5">
    <w:name w:val="Light Shading Accent 5"/>
    <w:basedOn w:val="a3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-6">
    <w:name w:val="Light Shading Accent 6"/>
    <w:basedOn w:val="a3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aff2">
    <w:name w:val="Light List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-10">
    <w:name w:val="Light List Accent 1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-20">
    <w:name w:val="Light List Accent 2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-30">
    <w:name w:val="Light List Accent 3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-40">
    <w:name w:val="Light List Accent 4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-50">
    <w:name w:val="Light List Accent 5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-60">
    <w:name w:val="Light List Accent 6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aff3">
    <w:name w:val="Light Grid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-11">
    <w:name w:val="Light Grid Accent 1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-21">
    <w:name w:val="Light Grid Accent 2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-31">
    <w:name w:val="Light Grid Accent 3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-41">
    <w:name w:val="Light Grid Accent 4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-51">
    <w:name w:val="Light Grid Accent 5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-61">
    <w:name w:val="Light Grid Accent 6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11">
    <w:name w:val="Medium Shading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1">
    <w:name w:val="Medium Shading 1 Accent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2">
    <w:name w:val="Medium Shading 1 Accent 2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3">
    <w:name w:val="Medium Shading 1 Accent 3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4">
    <w:name w:val="Medium Shading 1 Accent 4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5">
    <w:name w:val="Medium Shading 1 Accent 5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6">
    <w:name w:val="Medium Shading 1 Accent 6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29">
    <w:name w:val="Medium Shading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1">
    <w:name w:val="Medium Shading 2 Accent 1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2">
    <w:name w:val="Medium Shading 2 Accent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3">
    <w:name w:val="Medium Shading 2 Accent 3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4">
    <w:name w:val="Medium Shading 2 Accent 4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5">
    <w:name w:val="Medium Shading 2 Accent 5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6">
    <w:name w:val="Medium Shading 2 Accent 6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12">
    <w:name w:val="Medium Lis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1-10">
    <w:name w:val="Medium List 1 Accen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1-20">
    <w:name w:val="Medium List 1 Accent 2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1-30">
    <w:name w:val="Medium List 1 Accent 3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1-40">
    <w:name w:val="Medium List 1 Accent 4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1-50">
    <w:name w:val="Medium List 1 Accent 5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1-60">
    <w:name w:val="Medium List 1 Accent 6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2a">
    <w:name w:val="Medium Lis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10">
    <w:name w:val="Medium List 2 Accent 1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20">
    <w:name w:val="Medium List 2 Accen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30">
    <w:name w:val="Medium List 2 Accent 3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40">
    <w:name w:val="Medium List 2 Accent 4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50">
    <w:name w:val="Medium List 2 Accent 5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60">
    <w:name w:val="Medium List 2 Accent 6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13">
    <w:name w:val="Medium Grid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1-11">
    <w:name w:val="Medium Grid 1 Accent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1-21">
    <w:name w:val="Medium Grid 1 Accent 2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1-31">
    <w:name w:val="Medium Grid 1 Accent 3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-41">
    <w:name w:val="Medium Grid 1 Accent 4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1-51">
    <w:name w:val="Medium Grid 1 Accent 5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1-61">
    <w:name w:val="Medium Grid 1 Accent 6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2b">
    <w:name w:val="Medium Grid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11">
    <w:name w:val="Medium Grid 2 Accent 1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21">
    <w:name w:val="Medium Grid 2 Accent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31">
    <w:name w:val="Medium Grid 2 Accent 3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41">
    <w:name w:val="Medium Grid 2 Accent 4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51">
    <w:name w:val="Medium Grid 2 Accent 5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61">
    <w:name w:val="Medium Grid 2 Accent 6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37">
    <w:name w:val="Medium Grid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3-1">
    <w:name w:val="Medium Grid 3 Accent 1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3-2">
    <w:name w:val="Medium Grid 3 Accent 2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3-3">
    <w:name w:val="Medium Grid 3 Accent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3-4">
    <w:name w:val="Medium Grid 3 Accent 4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3-5">
    <w:name w:val="Medium Grid 3 Accent 5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3-6">
    <w:name w:val="Medium Grid 3 Accent 6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aff4">
    <w:name w:val="Dark List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-12">
    <w:name w:val="Dark List Accent 1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-22">
    <w:name w:val="Dark List Accent 2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-32">
    <w:name w:val="Dark List Accent 3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-42">
    <w:name w:val="Dark List Accent 4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-52">
    <w:name w:val="Dark List Accent 5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-62">
    <w:name w:val="Dark List Accent 6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aff5">
    <w:name w:val="Colorful Shading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13">
    <w:name w:val="Colorful Shading Accent 1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23">
    <w:name w:val="Colorful Shading Accent 2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33">
    <w:name w:val="Colorful Shading Accent 3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3">
    <w:name w:val="Colorful Shading Accent 4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53">
    <w:name w:val="Colorful Shading Accent 5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63">
    <w:name w:val="Colorful Shading Accent 6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aff6">
    <w:name w:val="Colorful List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-14">
    <w:name w:val="Colorful List Accent 1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-24">
    <w:name w:val="Colorful List Accent 2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-34">
    <w:name w:val="Colorful List Accent 3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-44">
    <w:name w:val="Colorful List Accent 4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-54">
    <w:name w:val="Colorful List Accent 5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-64">
    <w:name w:val="Colorful List Accent 6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aff7">
    <w:name w:val="Colorful Grid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-15">
    <w:name w:val="Colorful Grid Accent 1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-25">
    <w:name w:val="Colorful Grid Accent 2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-35">
    <w:name w:val="Colorful Grid Accent 3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5">
    <w:name w:val="Colorful Grid Accent 4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-55">
    <w:name w:val="Colorful Grid Accent 5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-65">
    <w:name w:val="Colorful Grid Accent 6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hyperlink" Target="https://adilet.zan.kz/rus/docs/G25E0000223" TargetMode="External"/><Relationship Id="rId13" Type="http://schemas.openxmlformats.org/officeDocument/2006/relationships/hyperlink" Target="https://www.gov.kz/org/kgd-pavlodar/press/news/details/1140950" TargetMode="External"/><Relationship Id="rId1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https://www.gov.kz/org/kgd-vko/press/news/details/1113284" TargetMode="External"/><Relationship Id="rId17" Type="http://schemas.openxmlformats.org/officeDocument/2006/relationships/hyperlink" Target="https://adilet.zan.kz/rus/docs/G25E0000721" TargetMode="External"/><Relationship Id="rId2" Type="http://schemas.openxmlformats.org/officeDocument/2006/relationships/numbering" Target="numbering.xml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www.gov.kz/org/kgd-vko/press/news/details/1159871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https://adilet.zan.kz/rus/docs/P1500001193" TargetMode="External"/><Relationship Id="rId10" Type="http://schemas.openxmlformats.org/officeDocument/2006/relationships/hyperlink" Target="https://adilet.zan.kz/rus/docs/K2500000214" TargetMode="External"/><Relationship Id="rId19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https://adilet.zan.kz/rus/docs/G25E0000170" TargetMode="External"/><Relationship Id="rId14" Type="http://schemas.openxmlformats.org/officeDocument/2006/relationships/hyperlink" Target="https://www.gov.kz/org/almaty-densaulyk/press/news/details/1133766?lang=ru" TargetMode="External"/><Relationship Id="rId21" Type="http://schemas.openxmlformats.org/officeDocument/2006/relationships/hyperlink" Target="https://adilet.zan.kz/rus/docs/G25E0000191" TargetMode="External"/><Relationship Id="rId22" Type="http://schemas.openxmlformats.org/officeDocument/2006/relationships/hyperlink" Target="https://adilet.zan.kz/rus/docs/K2300000224" TargetMode="External"/><Relationship Id="rId23" Type="http://schemas.openxmlformats.org/officeDocument/2006/relationships/hyperlink" Target="https://adilet.zan.kz/rus/docs/K1500000414" TargetMode="External"/><Relationship Id="rId24" Type="http://schemas.openxmlformats.org/officeDocument/2006/relationships/hyperlink" Target="https://adilet.zan.kz/rus/docs/Z1500000405" TargetMode="External"/><Relationship Id="rId25" Type="http://schemas.openxmlformats.org/officeDocument/2006/relationships/hyperlink" Target="https://adilet.zan.kz/rus/docs/V1500012533" TargetMode="External"/><Relationship Id="rId26" Type="http://schemas.openxmlformats.org/officeDocument/2006/relationships/hyperlink" Target="https://www.gov.kz/article/17157" TargetMode="External"/><Relationship Id="rId27" Type="http://schemas.openxmlformats.org/officeDocument/2006/relationships/hyperlink" Target="https://www.ipsasb.org/publications/ipsas-39-employee-benefits-2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8EAE9E47-2D8E-4B51-B06D-75C8D31808C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5</Pages>
  <Words>1842</Words>
  <Characters>10501</Characters>
  <Application>Microsoft Office Word</Application>
  <DocSecurity>0</DocSecurity>
  <Lines>87</Lines>
  <Paragraphs>24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12319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Учет заработной платы и социальных выплат в бюджетных учреждениях</dc:title>
  <dc:subject>Бухгалтерский учет в бюджетных организациях</dc:subject>
  <dc:creator/>
  <cp:keywords>Казахстан; государственные учреждения; учет; лекции; 2026</cp:keywords>
  <dc:description>generated by python-docx</dc:description>
  <cp:lastModifiedBy>Гульжан Байтикенова</cp:lastModifiedBy>
  <cp:revision>2</cp:revision>
  <dcterms:created xsi:type="dcterms:W3CDTF">2013-12-23T23:15:00Z</dcterms:created>
  <dcterms:modified xsi:type="dcterms:W3CDTF">2026-10-21T11:13:00Z</dcterms:modified>
  <cp:category/>
</cp:coreProperties>
</file>