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3B1" w:rsidRDefault="0001165F">
      <w:pPr>
        <w:keepNext/>
        <w:jc w:val="both"/>
      </w:pPr>
      <w:r>
        <w:rPr>
          <w:rFonts w:eastAsia="Times New Roman" w:cs="Times New Roman"/>
          <w:b/>
          <w:lang w:val="ru-RU"/>
        </w:rPr>
        <w:t>ЛЕКЦИЯ 5</w:t>
      </w:r>
    </w:p>
    <w:p w:rsidR="00D233B1" w:rsidRDefault="0001165F">
      <w:pPr>
        <w:pStyle w:val="aa"/>
        <w:keepNext/>
        <w:spacing w:after="160"/>
      </w:pPr>
      <w:r>
        <w:rPr>
          <w:rFonts w:ascii="Times New Roman" w:eastAsia="Times New Roman" w:hAnsi="Times New Roman" w:cs="Times New Roman"/>
          <w:lang w:val="ru-RU"/>
        </w:rPr>
        <w:t>Учет долгосрочных активов и обязательств</w:t>
      </w:r>
    </w:p>
    <w:p>
      <w:pPr>
        <w:keepNext w:val="0"/>
        <w:jc w:val="both"/>
      </w:pPr>
      <w:r>
        <w:rPr>
          <w:rFonts w:eastAsia="Times New Roman" w:cs="Times New Roman"/>
          <w:lang w:val="ru-RU"/>
        </w:rPr>
        <w:t>Цель лекции. Освоить признание и оценку долгосрочных активов, амортизацию, обесценение и учет обязательств с неопределенной суммой или сроком.</w:t>
      </w:r>
    </w:p>
    <w:p>
      <w:pPr>
        <w:keepNext w:val="0"/>
        <w:jc w:val="both"/>
      </w:pPr>
      <w:r>
        <w:rPr>
          <w:rFonts w:eastAsia="Times New Roman" w:cs="Times New Roman"/>
          <w:lang w:val="ru-RU"/>
        </w:rPr>
        <w:t>План лекции. Признание и оценка основных средств; амортизация и обесценение; нематериальные активы и аренда; инвентаризация; расчеты и оценочные обязательства.</w:t>
      </w:r>
    </w:p>
    <w:p w:rsidR="00D233B1" w:rsidRDefault="0001165F">
      <w:pPr>
        <w:pStyle w:val="1"/>
        <w:keepNext/>
      </w:pPr>
      <w:r>
        <w:rPr>
          <w:rFonts w:ascii="Times New Roman" w:eastAsia="Times New Roman" w:hAnsi="Times New Roman" w:cs="Times New Roman"/>
          <w:lang w:val="ru-RU"/>
        </w:rPr>
        <w:t>Долгосрочные активы и амортизация</w:t>
      </w:r>
    </w:p>
    <w:p w:rsidR="00D233B1" w:rsidRDefault="0001165F">
      <w:pPr>
        <w:jc w:val="both"/>
      </w:pPr>
      <w:r>
        <w:rPr>
          <w:rFonts w:eastAsia="Times New Roman" w:cs="Times New Roman"/>
          <w:lang w:val="ru-RU"/>
        </w:rPr>
        <w:t>Долгосрочный актив обеспечивает деятельность более одного отчетного периода. В государственном учреждении его полезность прояв</w:t>
      </w:r>
      <w:r>
        <w:rPr>
          <w:rFonts w:eastAsia="Times New Roman" w:cs="Times New Roman"/>
          <w:lang w:val="ru-RU"/>
        </w:rPr>
        <w:t>ляется не только в денежных поступлениях, но и в сервисном потенциале: способности поддерживать обучение, лечение, управление или другую функцию. Для учета важны контроль, подтвержденное получение, надлежащая оценка и отнесение к правильной группе.</w:t>
      </w:r>
    </w:p>
    <w:p w:rsidR="00D233B1" w:rsidRDefault="0001165F">
      <w:pPr>
        <w:jc w:val="both"/>
      </w:pPr>
      <w:r>
        <w:rPr>
          <w:rFonts w:eastAsia="Times New Roman" w:cs="Times New Roman"/>
          <w:lang w:val="ru-RU"/>
        </w:rPr>
        <w:t>Признание актива включает определение единицы учета, подтверждение контроля и надежной оценки. Последующий учет отражает потребление сервисного потенциала, изменение оценки и выбытие. Инвентаризация подтверждает наличие и состояние объекта, а сверка расчетов — основания и величину связанной задолженности. [Н3, Н5, Н8]</w:t>
      </w:r>
    </w:p>
    <w:p w:rsidR="00D233B1" w:rsidRDefault="0001165F">
      <w:pPr>
        <w:pStyle w:val="1"/>
        <w:keepNext/>
      </w:pPr>
      <w:r>
        <w:rPr>
          <w:rFonts w:ascii="Times New Roman" w:eastAsia="Times New Roman" w:hAnsi="Times New Roman" w:cs="Times New Roman"/>
          <w:lang w:val="ru-RU"/>
        </w:rPr>
        <w:t>Основные средства и единица учета</w:t>
      </w:r>
    </w:p>
    <w:p w:rsidR="00D233B1" w:rsidRDefault="0001165F">
      <w:pPr>
        <w:jc w:val="both"/>
      </w:pPr>
      <w:r>
        <w:rPr>
          <w:rFonts w:eastAsia="Times New Roman" w:cs="Times New Roman"/>
          <w:lang w:val="ru-RU"/>
        </w:rPr>
        <w:t>Основные средства имеют материальную форму и используются в деятельности учреждения. Примеры — здания, транспорт, оборудование, инструмен</w:t>
      </w:r>
      <w:r>
        <w:rPr>
          <w:rFonts w:eastAsia="Times New Roman" w:cs="Times New Roman"/>
          <w:lang w:val="ru-RU"/>
        </w:rPr>
        <w:t>ты. Единица учета должна позволять идентифицировать объект, его местонахождение, ответственное лицо и характеристики. Инвентарный номер соединяет первичный документ, карточку, учетный регистр и фактическое имущество.</w:t>
      </w:r>
    </w:p>
    <w:p w:rsidR="00D233B1" w:rsidRDefault="0001165F">
      <w:pPr>
        <w:jc w:val="both"/>
      </w:pPr>
      <w:r>
        <w:rPr>
          <w:rFonts w:eastAsia="Times New Roman" w:cs="Times New Roman"/>
          <w:lang w:val="ru-RU"/>
        </w:rPr>
        <w:t>Комплект из нескольких предметов не все</w:t>
      </w:r>
      <w:r>
        <w:rPr>
          <w:rFonts w:eastAsia="Times New Roman" w:cs="Times New Roman"/>
          <w:lang w:val="ru-RU"/>
        </w:rPr>
        <w:t>гда представляет один объект. Решение зависит от их назначения, самостоятельности использования и применяемых правил. Если существенные части имеют разные сроки службы, это может влиять на организацию учета. Нельзя определять единицу только по количеству с</w:t>
      </w:r>
      <w:r>
        <w:rPr>
          <w:rFonts w:eastAsia="Times New Roman" w:cs="Times New Roman"/>
          <w:lang w:val="ru-RU"/>
        </w:rPr>
        <w:t>трок в накладной или удобству загрузки в программу.</w:t>
      </w:r>
    </w:p>
    <w:p w:rsidR="00D233B1" w:rsidRDefault="0001165F">
      <w:pPr>
        <w:jc w:val="both"/>
      </w:pPr>
      <w:r>
        <w:rPr>
          <w:rFonts w:eastAsia="Times New Roman" w:cs="Times New Roman"/>
          <w:lang w:val="ru-RU"/>
        </w:rPr>
        <w:t>Следует различать владение, контроль и хранение. На территории учреждения могут находиться собственные, арендованные и принятые на ответственное хранение объекты. При инвентаризации их нельзя смешивать. О</w:t>
      </w:r>
      <w:r>
        <w:rPr>
          <w:rFonts w:eastAsia="Times New Roman" w:cs="Times New Roman"/>
          <w:lang w:val="ru-RU"/>
        </w:rPr>
        <w:t>тнесение к балансовому или иному установленному учету определяется основанием использования, а не физическим расположением.</w:t>
      </w:r>
    </w:p>
    <w:p w:rsidR="00D233B1" w:rsidRDefault="0001165F">
      <w:pPr>
        <w:pStyle w:val="1"/>
        <w:keepNext/>
      </w:pPr>
      <w:r>
        <w:rPr>
          <w:rFonts w:ascii="Times New Roman" w:eastAsia="Times New Roman" w:hAnsi="Times New Roman" w:cs="Times New Roman"/>
          <w:lang w:val="ru-RU"/>
        </w:rPr>
        <w:t>Формирование первоначальной стоимости</w:t>
      </w:r>
    </w:p>
    <w:p w:rsidR="00D233B1" w:rsidRDefault="0001165F">
      <w:pPr>
        <w:jc w:val="both"/>
      </w:pPr>
      <w:r>
        <w:rPr>
          <w:rFonts w:eastAsia="Times New Roman" w:cs="Times New Roman"/>
          <w:lang w:val="ru-RU"/>
        </w:rPr>
        <w:t>Первоначальная стоимость объединяет затраты, относимые к приобретению и приведению объекта в</w:t>
      </w:r>
      <w:r>
        <w:rPr>
          <w:rFonts w:eastAsia="Times New Roman" w:cs="Times New Roman"/>
          <w:lang w:val="ru-RU"/>
        </w:rPr>
        <w:t xml:space="preserve"> необходимое состояние в соответствии с применимой моделью. Анализируют цену с учетом скидок, относимую доставку, установку и другие необходимые затраты. Возмещаемые и невозмещаемые налоги имеют разное значение; в расчетных примерах этого курса суммы уже д</w:t>
      </w:r>
      <w:r>
        <w:rPr>
          <w:rFonts w:eastAsia="Times New Roman" w:cs="Times New Roman"/>
          <w:lang w:val="ru-RU"/>
        </w:rPr>
        <w:t>аны без отдельного возмещаемого налога.</w:t>
      </w:r>
    </w:p>
    <w:p w:rsidR="00D233B1" w:rsidRDefault="0001165F">
      <w:pPr>
        <w:jc w:val="both"/>
      </w:pPr>
      <w:r>
        <w:rPr>
          <w:rFonts w:eastAsia="Times New Roman" w:cs="Times New Roman"/>
          <w:lang w:val="ru-RU"/>
        </w:rPr>
        <w:t>Условное оборудование стоит 2 200 тыс. тенге. Доставка составляет 100, обязательная установка — 100. Все затраты необходимы для подготовки к использованию, самостоятельных услуг и иных объектов в них нет. Первоначаль</w:t>
      </w:r>
      <w:r>
        <w:rPr>
          <w:rFonts w:eastAsia="Times New Roman" w:cs="Times New Roman"/>
          <w:lang w:val="ru-RU"/>
        </w:rPr>
        <w:t>ная стоимость равна 2 400. Текущие расходы на обучение персонала в другой ситуации нельзя автоматически включать в стоимость только потому, что они совершены рядом с покупкой.</w:t>
      </w:r>
    </w:p>
    <w:p w:rsidR="00D233B1" w:rsidRDefault="0001165F">
      <w:pPr>
        <w:jc w:val="both"/>
      </w:pPr>
      <w:r>
        <w:rPr>
          <w:rFonts w:eastAsia="Times New Roman" w:cs="Times New Roman"/>
          <w:lang w:val="ru-RU"/>
        </w:rPr>
        <w:t>Получение объекта и его готовность к использованию подтверждаются документами. Е</w:t>
      </w:r>
      <w:r>
        <w:rPr>
          <w:rFonts w:eastAsia="Times New Roman" w:cs="Times New Roman"/>
          <w:lang w:val="ru-RU"/>
        </w:rPr>
        <w:t xml:space="preserve">сли оборудование еще монтируется, его состояние и учетная классификация должны отражать незавершенность. Отсутствие платежа не препятствует </w:t>
      </w:r>
      <w:r>
        <w:rPr>
          <w:rFonts w:eastAsia="Times New Roman" w:cs="Times New Roman"/>
          <w:lang w:val="ru-RU"/>
        </w:rPr>
        <w:lastRenderedPageBreak/>
        <w:t>анализу признания полученного ресурса: одновременно может возникнуть задолженность поставщику.</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4932"/>
        <w:gridCol w:w="2268"/>
        <w:gridCol w:w="2268"/>
      </w:tblGrid>
      <w:tr w:rsidR="00D233B1">
        <w:trPr>
          <w:cantSplit/>
          <w:tblHeader/>
          <w:jc w:val="center"/>
        </w:trPr>
        <w:tc>
          <w:tcPr>
            <w:tcW w:w="4932" w:type="dxa"/>
            <w:shd w:val="clear" w:color="auto" w:fill="E8EFF5"/>
            <w:vAlign w:val="center"/>
          </w:tcPr>
          <w:p w:rsidR="00D233B1" w:rsidRDefault="0001165F">
            <w:pPr>
              <w:keepNext/>
              <w:spacing w:after="0" w:line="240" w:lineRule="auto"/>
              <w:ind w:firstLine="0"/>
            </w:pPr>
            <w:r>
              <w:rPr>
                <w:rFonts w:eastAsia="Times New Roman" w:cs="Times New Roman"/>
                <w:b/>
                <w:sz w:val="21"/>
                <w:lang w:val="ru-RU"/>
              </w:rPr>
              <w:t>Операция в учебном пр</w:t>
            </w:r>
            <w:r>
              <w:rPr>
                <w:rFonts w:eastAsia="Times New Roman" w:cs="Times New Roman"/>
                <w:b/>
                <w:sz w:val="21"/>
                <w:lang w:val="ru-RU"/>
              </w:rPr>
              <w:t>имере</w:t>
            </w:r>
          </w:p>
        </w:tc>
        <w:tc>
          <w:tcPr>
            <w:tcW w:w="2268" w:type="dxa"/>
            <w:shd w:val="clear" w:color="auto" w:fill="E8EFF5"/>
            <w:vAlign w:val="center"/>
          </w:tcPr>
          <w:p w:rsidR="00D233B1" w:rsidRDefault="0001165F">
            <w:pPr>
              <w:keepNext/>
              <w:spacing w:after="0" w:line="240" w:lineRule="auto"/>
              <w:ind w:firstLine="0"/>
              <w:jc w:val="center"/>
            </w:pPr>
            <w:r>
              <w:rPr>
                <w:rFonts w:eastAsia="Times New Roman" w:cs="Times New Roman"/>
                <w:b/>
                <w:sz w:val="21"/>
                <w:lang w:val="ru-RU"/>
              </w:rPr>
              <w:t>Дебет</w:t>
            </w:r>
          </w:p>
        </w:tc>
        <w:tc>
          <w:tcPr>
            <w:tcW w:w="2268" w:type="dxa"/>
            <w:shd w:val="clear" w:color="auto" w:fill="E8EFF5"/>
            <w:vAlign w:val="center"/>
          </w:tcPr>
          <w:p w:rsidR="00D233B1" w:rsidRDefault="0001165F">
            <w:pPr>
              <w:keepNext/>
              <w:spacing w:after="0" w:line="240" w:lineRule="auto"/>
              <w:ind w:firstLine="0"/>
              <w:jc w:val="center"/>
            </w:pPr>
            <w:r>
              <w:rPr>
                <w:rFonts w:eastAsia="Times New Roman" w:cs="Times New Roman"/>
                <w:b/>
                <w:sz w:val="21"/>
                <w:lang w:val="ru-RU"/>
              </w:rPr>
              <w:t>Кредит</w:t>
            </w:r>
          </w:p>
        </w:tc>
      </w:tr>
      <w:tr w:rsidR="00D233B1">
        <w:trPr>
          <w:cantSplit/>
          <w:jc w:val="center"/>
        </w:trPr>
        <w:tc>
          <w:tcPr>
            <w:tcW w:w="4932" w:type="dxa"/>
            <w:vAlign w:val="center"/>
          </w:tcPr>
          <w:p w:rsidR="00D233B1" w:rsidRDefault="0001165F">
            <w:pPr>
              <w:keepNext/>
              <w:spacing w:after="0" w:line="240" w:lineRule="auto"/>
              <w:ind w:firstLine="0"/>
            </w:pPr>
            <w:r>
              <w:rPr>
                <w:rFonts w:eastAsia="Times New Roman" w:cs="Times New Roman"/>
                <w:sz w:val="21"/>
                <w:lang w:val="ru-RU"/>
              </w:rPr>
              <w:t>Оборудование признано по стоимости 2 400</w:t>
            </w:r>
          </w:p>
        </w:tc>
        <w:tc>
          <w:tcPr>
            <w:tcW w:w="2268" w:type="dxa"/>
            <w:vAlign w:val="center"/>
          </w:tcPr>
          <w:p w:rsidR="00D233B1" w:rsidRDefault="0001165F">
            <w:pPr>
              <w:keepNext/>
              <w:spacing w:after="0" w:line="240" w:lineRule="auto"/>
              <w:ind w:firstLine="0"/>
              <w:jc w:val="center"/>
            </w:pPr>
            <w:r>
              <w:rPr>
                <w:rFonts w:eastAsia="Times New Roman" w:cs="Times New Roman"/>
                <w:sz w:val="21"/>
                <w:lang w:val="ru-RU"/>
              </w:rPr>
              <w:t>2360</w:t>
            </w:r>
          </w:p>
        </w:tc>
        <w:tc>
          <w:tcPr>
            <w:tcW w:w="2268" w:type="dxa"/>
            <w:vAlign w:val="center"/>
          </w:tcPr>
          <w:p w:rsidR="00D233B1" w:rsidRDefault="0001165F">
            <w:pPr>
              <w:keepNext/>
              <w:spacing w:after="0" w:line="240" w:lineRule="auto"/>
              <w:ind w:firstLine="0"/>
              <w:jc w:val="center"/>
            </w:pPr>
            <w:r>
              <w:rPr>
                <w:rFonts w:eastAsia="Times New Roman" w:cs="Times New Roman"/>
                <w:sz w:val="21"/>
                <w:lang w:val="ru-RU"/>
              </w:rPr>
              <w:t>3210</w:t>
            </w:r>
          </w:p>
        </w:tc>
      </w:tr>
      <w:tr w:rsidR="00D233B1">
        <w:trPr>
          <w:cantSplit/>
          <w:jc w:val="center"/>
        </w:trPr>
        <w:tc>
          <w:tcPr>
            <w:tcW w:w="4932" w:type="dxa"/>
            <w:vAlign w:val="center"/>
          </w:tcPr>
          <w:p w:rsidR="00D233B1" w:rsidRDefault="0001165F">
            <w:pPr>
              <w:keepNext/>
              <w:spacing w:after="0" w:line="240" w:lineRule="auto"/>
              <w:ind w:firstLine="0"/>
            </w:pPr>
            <w:r>
              <w:rPr>
                <w:rFonts w:eastAsia="Times New Roman" w:cs="Times New Roman"/>
                <w:sz w:val="21"/>
                <w:lang w:val="ru-RU"/>
              </w:rPr>
              <w:t>Оплачен долг поставщику за капитальное приобретение</w:t>
            </w:r>
          </w:p>
        </w:tc>
        <w:tc>
          <w:tcPr>
            <w:tcW w:w="2268" w:type="dxa"/>
            <w:vAlign w:val="center"/>
          </w:tcPr>
          <w:p w:rsidR="00D233B1" w:rsidRDefault="0001165F">
            <w:pPr>
              <w:keepNext/>
              <w:spacing w:after="0" w:line="240" w:lineRule="auto"/>
              <w:ind w:firstLine="0"/>
              <w:jc w:val="center"/>
            </w:pPr>
            <w:r>
              <w:rPr>
                <w:rFonts w:eastAsia="Times New Roman" w:cs="Times New Roman"/>
                <w:sz w:val="21"/>
                <w:lang w:val="ru-RU"/>
              </w:rPr>
              <w:t>3210</w:t>
            </w:r>
          </w:p>
        </w:tc>
        <w:tc>
          <w:tcPr>
            <w:tcW w:w="2268" w:type="dxa"/>
            <w:vAlign w:val="center"/>
          </w:tcPr>
          <w:p w:rsidR="00D233B1" w:rsidRDefault="0001165F">
            <w:pPr>
              <w:keepNext/>
              <w:spacing w:after="0" w:line="240" w:lineRule="auto"/>
              <w:ind w:firstLine="0"/>
              <w:jc w:val="center"/>
            </w:pPr>
            <w:r>
              <w:rPr>
                <w:rFonts w:eastAsia="Times New Roman" w:cs="Times New Roman"/>
                <w:sz w:val="21"/>
                <w:lang w:val="ru-RU"/>
              </w:rPr>
              <w:t>1082</w:t>
            </w:r>
          </w:p>
        </w:tc>
      </w:tr>
      <w:tr w:rsidR="00D233B1">
        <w:trPr>
          <w:cantSplit/>
          <w:jc w:val="center"/>
        </w:trPr>
        <w:tc>
          <w:tcPr>
            <w:tcW w:w="4932" w:type="dxa"/>
            <w:vAlign w:val="center"/>
          </w:tcPr>
          <w:p w:rsidR="00D233B1" w:rsidRDefault="0001165F">
            <w:pPr>
              <w:keepNext w:val="0"/>
              <w:spacing w:after="0" w:line="240" w:lineRule="auto"/>
              <w:ind w:firstLine="0"/>
            </w:pPr>
            <w:r>
              <w:rPr>
                <w:rFonts w:eastAsia="Times New Roman" w:cs="Times New Roman"/>
                <w:sz w:val="21"/>
                <w:lang w:val="ru-RU"/>
              </w:rPr>
              <w:t>Начислена амортизация</w:t>
            </w:r>
          </w:p>
        </w:tc>
        <w:tc>
          <w:tcPr>
            <w:tcW w:w="2268" w:type="dxa"/>
            <w:vAlign w:val="center"/>
          </w:tcPr>
          <w:p w:rsidR="00D233B1" w:rsidRDefault="0001165F">
            <w:pPr>
              <w:keepNext w:val="0"/>
              <w:spacing w:after="0" w:line="240" w:lineRule="auto"/>
              <w:ind w:firstLine="0"/>
            </w:pPr>
            <w:r>
              <w:rPr>
                <w:rFonts w:eastAsia="Times New Roman" w:cs="Times New Roman"/>
                <w:sz w:val="21"/>
                <w:lang w:val="ru-RU"/>
              </w:rPr>
              <w:t>Расход по амортизации</w:t>
            </w:r>
          </w:p>
        </w:tc>
        <w:tc>
          <w:tcPr>
            <w:tcW w:w="2268" w:type="dxa"/>
            <w:vAlign w:val="center"/>
          </w:tcPr>
          <w:p w:rsidR="00D233B1" w:rsidRDefault="0001165F">
            <w:pPr>
              <w:keepNext w:val="0"/>
              <w:spacing w:after="0" w:line="240" w:lineRule="auto"/>
              <w:ind w:firstLine="0"/>
              <w:jc w:val="center"/>
            </w:pPr>
            <w:r>
              <w:rPr>
                <w:rFonts w:eastAsia="Times New Roman" w:cs="Times New Roman"/>
                <w:sz w:val="21"/>
                <w:lang w:val="ru-RU"/>
              </w:rPr>
              <w:t>2391</w:t>
            </w:r>
          </w:p>
        </w:tc>
      </w:tr>
    </w:tbl>
    <w:p w:rsidR="00D233B1" w:rsidRDefault="00D233B1">
      <w:pPr>
        <w:spacing w:line="20" w:lineRule="exact"/>
        <w:ind w:firstLine="0"/>
      </w:pPr>
    </w:p>
    <w:p w:rsidR="00D233B1" w:rsidRDefault="0001165F">
      <w:pPr>
        <w:jc w:val="both"/>
      </w:pPr>
      <w:r>
        <w:rPr>
          <w:rFonts w:eastAsia="Times New Roman" w:cs="Times New Roman"/>
          <w:lang w:val="ru-RU"/>
        </w:rPr>
        <w:t xml:space="preserve">В таблице использованы счета государственного учреждения: 2360 </w:t>
      </w:r>
      <w:r>
        <w:rPr>
          <w:rFonts w:eastAsia="Times New Roman" w:cs="Times New Roman"/>
          <w:lang w:val="ru-RU"/>
        </w:rPr>
        <w:t>относится к машинам и оборудованию, 3210 — к расчетам с поставщиками, 2391 — к накопленной амортизации. Счет 1082 показан для предусмотренного примерами Плана счетов бюджетного финансирования капитальных вложений. При другом источнике корреспонденция оплат</w:t>
      </w:r>
      <w:r>
        <w:rPr>
          <w:rFonts w:eastAsia="Times New Roman" w:cs="Times New Roman"/>
          <w:lang w:val="ru-RU"/>
        </w:rPr>
        <w:t>ы определяется отдельно. [Н4, Н20]</w:t>
      </w:r>
    </w:p>
    <w:p>
      <w:pPr>
        <w:pStyle w:val="21"/>
        <w:keepNext/>
      </w:pPr>
      <w:r>
        <w:rPr>
          <w:rFonts w:ascii="Times New Roman" w:hAnsi="Times New Roman"/>
          <w:b/>
          <w:sz w:val="24"/>
        </w:rPr>
        <w:t>Последующая оценка по МСФО ОС 45 и 46</w:t>
      </w:r>
    </w:p>
    <w:p>
      <w:pPr>
        <w:keepNext w:val="0"/>
        <w:jc w:val="both"/>
      </w:pPr>
      <w:r>
        <w:rPr>
          <w:rFonts w:eastAsia="Times New Roman" w:cs="Times New Roman"/>
          <w:lang w:val="ru-RU"/>
        </w:rPr>
        <w:t>МСФО ОС 45 заменил МСФО ОС 17 и применяется с 1 января 2025 года вместе со стандартом 46. Он предусматривает модель первоначальной стоимости и модель текущей стоимости. Для активов, удерживаемых прежде всего ради оказания услуг, в модели текущей стоимости используется текущая операционная стоимость — current operational value; для активов, удерживаемых прежде всего ради финансовой отдачи, — справедливая стоимость. Выбранная модель применяется последовательно к соответствующему классу активов. [М45, М46]</w:t>
      </w:r>
    </w:p>
    <w:p>
      <w:pPr>
        <w:keepNext w:val="0"/>
        <w:jc w:val="both"/>
      </w:pPr>
      <w:r>
        <w:rPr>
          <w:rFonts w:eastAsia="Times New Roman" w:cs="Times New Roman"/>
          <w:lang w:val="ru-RU"/>
        </w:rPr>
        <w:t>Текущая операционная стоимость характеризует ресурс, необходимый на дату оценки для сохранения оставшегося сервисного потенциала. Справедливая стоимость ориентируется на рыночную операцию между участниками рынка. Для специализированного здания школы эти величины могут различаться: его способность обеспечивать обучение не сводится к возможной цене продажи. В обязательном учете государственного учреждения РК модель определяется Учетной политикой № 191. [Н5; М45, М46]</w:t>
      </w:r>
    </w:p>
    <w:p w:rsidR="00D233B1" w:rsidRDefault="0001165F">
      <w:pPr>
        <w:pStyle w:val="1"/>
        <w:keepNext/>
      </w:pPr>
      <w:r>
        <w:rPr>
          <w:rFonts w:ascii="Times New Roman" w:eastAsia="Times New Roman" w:hAnsi="Times New Roman" w:cs="Times New Roman"/>
          <w:lang w:val="ru-RU"/>
        </w:rPr>
        <w:t>Последующие затраты и ремонт</w:t>
      </w:r>
    </w:p>
    <w:p w:rsidR="00D233B1" w:rsidRDefault="0001165F">
      <w:pPr>
        <w:jc w:val="both"/>
      </w:pPr>
      <w:r>
        <w:rPr>
          <w:rFonts w:eastAsia="Times New Roman" w:cs="Times New Roman"/>
          <w:lang w:val="ru-RU"/>
        </w:rPr>
        <w:t xml:space="preserve">После признания объекта учреждение несет расходы на обслуживание и ремонт. Поддержание исходного рабочего состояния отличается от создания дополнительного ресурса или иного предусмотренного </w:t>
      </w:r>
      <w:r>
        <w:rPr>
          <w:rFonts w:eastAsia="Times New Roman" w:cs="Times New Roman"/>
          <w:lang w:val="ru-RU"/>
        </w:rPr>
        <w:t>улучшения. Поэтому классификация последующих затрат опирается на технический результат и учетные критерии, а не на формулировку «ремонт» в названии договора.</w:t>
      </w:r>
    </w:p>
    <w:p w:rsidR="00D233B1" w:rsidRDefault="0001165F">
      <w:pPr>
        <w:jc w:val="both"/>
      </w:pPr>
      <w:r>
        <w:rPr>
          <w:rFonts w:eastAsia="Times New Roman" w:cs="Times New Roman"/>
          <w:lang w:val="ru-RU"/>
        </w:rPr>
        <w:t xml:space="preserve">Плановое обслуживание принтера позволяет продолжать печать и обычно относится к текущему </w:t>
      </w:r>
      <w:r>
        <w:rPr>
          <w:rFonts w:eastAsia="Times New Roman" w:cs="Times New Roman"/>
          <w:lang w:val="ru-RU"/>
        </w:rPr>
        <w:t>потреблению услуги. Модернизация оборудования может изменить производительность или другие характеристики; ее учет требует подтверждения выполненных работ и проверки условий капитализации. Один крупный договор может включать разные по содержанию работы, ко</w:t>
      </w:r>
      <w:r>
        <w:rPr>
          <w:rFonts w:eastAsia="Times New Roman" w:cs="Times New Roman"/>
          <w:lang w:val="ru-RU"/>
        </w:rPr>
        <w:t>торые анализируются отдельно.</w:t>
      </w:r>
    </w:p>
    <w:p w:rsidR="00D233B1" w:rsidRDefault="0001165F">
      <w:pPr>
        <w:jc w:val="both"/>
      </w:pPr>
      <w:r>
        <w:rPr>
          <w:rFonts w:eastAsia="Times New Roman" w:cs="Times New Roman"/>
          <w:lang w:val="ru-RU"/>
        </w:rPr>
        <w:t>Бухгалтеру нужны техническое заключение, акт и сведения о составе затрат. Если документы описывают только общую сумму, нельзя уверенно разделить обслуживание и улучшение. Совместная работа технического специалиста и бухгалтери</w:t>
      </w:r>
      <w:r>
        <w:rPr>
          <w:rFonts w:eastAsia="Times New Roman" w:cs="Times New Roman"/>
          <w:lang w:val="ru-RU"/>
        </w:rPr>
        <w:t>и обеспечивает более надежную классификацию, чем решение по стоимости счета поставщика.</w:t>
      </w:r>
    </w:p>
    <w:p w:rsidR="00D233B1" w:rsidRDefault="0001165F">
      <w:pPr>
        <w:pStyle w:val="1"/>
        <w:keepNext/>
      </w:pPr>
      <w:r>
        <w:rPr>
          <w:rFonts w:ascii="Times New Roman" w:eastAsia="Times New Roman" w:hAnsi="Times New Roman" w:cs="Times New Roman"/>
          <w:lang w:val="ru-RU"/>
        </w:rPr>
        <w:t>Амортизация как распределение стоимости</w:t>
      </w:r>
    </w:p>
    <w:p w:rsidR="00D233B1" w:rsidRDefault="0001165F">
      <w:pPr>
        <w:jc w:val="both"/>
      </w:pPr>
      <w:r>
        <w:rPr>
          <w:rFonts w:eastAsia="Times New Roman" w:cs="Times New Roman"/>
          <w:b/>
          <w:lang w:val="ru-RU"/>
        </w:rPr>
        <w:t>Амортизация</w:t>
      </w:r>
      <w:r>
        <w:rPr>
          <w:rFonts w:eastAsia="Times New Roman" w:cs="Times New Roman"/>
          <w:lang w:val="ru-RU"/>
        </w:rPr>
        <w:t xml:space="preserve"> отражает систематическое распределение амортизируемой стоимости. Она не является накоплением денег для будущей пок</w:t>
      </w:r>
      <w:r>
        <w:rPr>
          <w:rFonts w:eastAsia="Times New Roman" w:cs="Times New Roman"/>
          <w:lang w:val="ru-RU"/>
        </w:rPr>
        <w:t>упки и не означает, что учреждение в текущем месяце перечисляет сумму поставщику. Начисление уменьшает балансовую стоимость и влияет на финансовый результат без непосредственного денежного оттока.</w:t>
      </w:r>
    </w:p>
    <w:p w:rsidR="00D233B1" w:rsidRDefault="0001165F">
      <w:pPr>
        <w:jc w:val="both"/>
      </w:pPr>
      <w:r>
        <w:rPr>
          <w:rFonts w:eastAsia="Times New Roman" w:cs="Times New Roman"/>
          <w:lang w:val="ru-RU"/>
        </w:rPr>
        <w:t>В государственном учреждении группы активов, нормы и порядо</w:t>
      </w:r>
      <w:r>
        <w:rPr>
          <w:rFonts w:eastAsia="Times New Roman" w:cs="Times New Roman"/>
          <w:lang w:val="ru-RU"/>
        </w:rPr>
        <w:t>к начисления проверяются по действующей Учетной политике и правилам. Нельзя переносить срок из налогового учета коммерческой компании либо произвольно выбирать процент для улучшения результата. Для учебного расчета ниже норма задана условием; она не объявл</w:t>
      </w:r>
      <w:r>
        <w:rPr>
          <w:rFonts w:eastAsia="Times New Roman" w:cs="Times New Roman"/>
          <w:lang w:val="ru-RU"/>
        </w:rPr>
        <w:t>яется универсальной для всего оборудования. [Н3, Н5]</w:t>
      </w:r>
    </w:p>
    <w:p w:rsidR="00D233B1" w:rsidRDefault="0001165F">
      <w:pPr>
        <w:jc w:val="both"/>
      </w:pPr>
      <w:r>
        <w:rPr>
          <w:rFonts w:eastAsia="Times New Roman" w:cs="Times New Roman"/>
          <w:lang w:val="ru-RU"/>
        </w:rPr>
        <w:t>Оборудование стоимостью 2 400 тыс. тенге используется все 12 месяцев года. В условиях примера подтверждена годовая норма 20 процентов, ликвидационная стоимость — ноль, изменений и обесценения нет. Годова</w:t>
      </w:r>
      <w:r>
        <w:rPr>
          <w:rFonts w:eastAsia="Times New Roman" w:cs="Times New Roman"/>
          <w:lang w:val="ru-RU"/>
        </w:rPr>
        <w:t>я амортизация равна 480, среднее месячное начисление при равномерном распределении — 40. После двух полных лет накоплено 960, балансовая стоимость составляет 1 440.</w:t>
      </w:r>
    </w:p>
    <w:p w:rsidR="00D233B1" w:rsidRDefault="0001165F">
      <w:pPr>
        <w:jc w:val="both"/>
      </w:pPr>
      <w:r>
        <w:rPr>
          <w:rFonts w:eastAsia="Times New Roman" w:cs="Times New Roman"/>
          <w:lang w:val="ru-RU"/>
        </w:rPr>
        <w:t>Балансовая стоимость и рыночная цена — разные показатели. Рост стоимости аналогичного новог</w:t>
      </w:r>
      <w:r>
        <w:rPr>
          <w:rFonts w:eastAsia="Times New Roman" w:cs="Times New Roman"/>
          <w:lang w:val="ru-RU"/>
        </w:rPr>
        <w:t>о оборудования не означает автоматического увеличения баланса. Физическое повреждение, прекращение использования или утрата сервисного потенциала требуют отдельного анализа на предусмотренное обесценение. Амортизация и обесценение отражают разные причины у</w:t>
      </w:r>
      <w:r>
        <w:rPr>
          <w:rFonts w:eastAsia="Times New Roman" w:cs="Times New Roman"/>
          <w:lang w:val="ru-RU"/>
        </w:rPr>
        <w:t>меньшения стоимости.</w:t>
      </w:r>
    </w:p>
    <w:p>
      <w:pPr>
        <w:pStyle w:val="21"/>
        <w:keepNext/>
      </w:pPr>
      <w:r>
        <w:rPr>
          <w:rFonts w:ascii="Times New Roman" w:hAnsi="Times New Roman"/>
          <w:b/>
          <w:sz w:val="24"/>
        </w:rPr>
        <w:t>Обесценение активов</w:t>
      </w:r>
    </w:p>
    <w:p>
      <w:pPr>
        <w:keepNext w:val="0"/>
        <w:jc w:val="both"/>
      </w:pPr>
      <w:r>
        <w:rPr>
          <w:rFonts w:eastAsia="Times New Roman" w:cs="Times New Roman"/>
          <w:lang w:val="ru-RU"/>
        </w:rPr>
        <w:t>МСФО ОС 21 применяется к активам, не генерирующим денежные средства, а МСФО ОС 26 — к активам, предназначенным для получения коммерческой отдачи. Для первой группы сравнивают балансовую стоимость с возмещаемой стоимостью услуг, для второй — с возмещаемой суммой. В обоих случаях превышение балансовой стоимости над соответствующей возмещаемой величиной образует убыток от обесценения. Индикаторами могут быть повреждение, технологическое устаревание и устойчивое сокращение потребности в услуге. [М21, М26]</w:t>
      </w:r>
    </w:p>
    <w:p>
      <w:pPr>
        <w:keepNext w:val="0"/>
        <w:jc w:val="both"/>
      </w:pPr>
      <w:r>
        <w:rPr>
          <w:rFonts w:eastAsia="Times New Roman" w:cs="Times New Roman"/>
          <w:lang w:val="ru-RU"/>
        </w:rPr>
        <w:t>Возмещаемая стоимость услуг — наибольшая из справедливой стоимости за вычетом затрат на продажу и ценности использования, определяемой через оставшийся сервисный потенциал. Если балансовая стоимость некоммерческого оборудования составляет 1 440 тыс. тенге, справедливая стоимость за вычетом затрат на продажу — 800, ценность использования — 1 050, возмещаемая стоимость услуг равна 1 050. Убыток составляет 390. После его признания амортизация рассчитывается исходя из скорректированной стоимости и оставшегося срока. [М21]</w:t>
      </w:r>
    </w:p>
    <w:p w:rsidR="00D233B1" w:rsidRDefault="0001165F">
      <w:pPr>
        <w:pStyle w:val="1"/>
        <w:keepNext/>
      </w:pPr>
      <w:r>
        <w:rPr>
          <w:rFonts w:ascii="Times New Roman" w:eastAsia="Times New Roman" w:hAnsi="Times New Roman" w:cs="Times New Roman"/>
          <w:lang w:val="ru-RU"/>
        </w:rPr>
        <w:t>Нематериальные активы и доступ к сервису</w:t>
      </w:r>
    </w:p>
    <w:p w:rsidR="00D233B1" w:rsidRDefault="0001165F">
      <w:pPr>
        <w:jc w:val="both"/>
      </w:pPr>
      <w:r>
        <w:rPr>
          <w:rFonts w:eastAsia="Times New Roman" w:cs="Times New Roman"/>
          <w:lang w:val="ru-RU"/>
        </w:rPr>
        <w:t>Нематериальный актив не имеет материальной формы, но должен быть идентифицируемым и контролируемым ресурсом. Сам факт оплаты программного продукта не решает вопрос признания. Нужно изучить пра</w:t>
      </w:r>
      <w:r>
        <w:rPr>
          <w:rFonts w:eastAsia="Times New Roman" w:cs="Times New Roman"/>
          <w:lang w:val="ru-RU"/>
        </w:rPr>
        <w:t>во использования, срок, возможность контроля и содержание предоставленного доступа.</w:t>
      </w:r>
    </w:p>
    <w:p w:rsidR="00D233B1" w:rsidRDefault="0001165F">
      <w:pPr>
        <w:jc w:val="both"/>
      </w:pPr>
      <w:r>
        <w:rPr>
          <w:rFonts w:eastAsia="Times New Roman" w:cs="Times New Roman"/>
          <w:lang w:val="ru-RU"/>
        </w:rPr>
        <w:t xml:space="preserve">Для сравнения даны две условные операции. По первой учреждение получает соответствующее критериям отдельное право на программный продукт за 1 200 тыс. тенге на три года; в </w:t>
      </w:r>
      <w:r>
        <w:rPr>
          <w:rFonts w:eastAsia="Times New Roman" w:cs="Times New Roman"/>
          <w:lang w:val="ru-RU"/>
        </w:rPr>
        <w:t>принятой для примера модели равномерная годовая амортизация равна 400. По второй оплачивается доступ к облачному сервису на один год за 300; услуга потребляется равномерно, месячная часть составляет 25. Эти результаты основаны на заданной классификации дог</w:t>
      </w:r>
      <w:r>
        <w:rPr>
          <w:rFonts w:eastAsia="Times New Roman" w:cs="Times New Roman"/>
          <w:lang w:val="ru-RU"/>
        </w:rPr>
        <w:t>оворов.</w:t>
      </w:r>
    </w:p>
    <w:p w:rsidR="00D233B1" w:rsidRDefault="0001165F">
      <w:pPr>
        <w:jc w:val="both"/>
      </w:pPr>
      <w:r>
        <w:rPr>
          <w:rFonts w:eastAsia="Times New Roman" w:cs="Times New Roman"/>
          <w:lang w:val="ru-RU"/>
        </w:rPr>
        <w:t>Сервисная подписка может создавать предоплату с последующим признанием расхода, а не самостоятельный нематериальный актив. Поддержка, обучение и доработка также требуют анализа. Нельзя объединять все платежи поставщику программного обеспечения в од</w:t>
      </w:r>
      <w:r>
        <w:rPr>
          <w:rFonts w:eastAsia="Times New Roman" w:cs="Times New Roman"/>
          <w:lang w:val="ru-RU"/>
        </w:rPr>
        <w:t>ну группу без чтения договора.</w:t>
      </w:r>
    </w:p>
    <w:p>
      <w:pPr>
        <w:keepNext w:val="0"/>
        <w:jc w:val="both"/>
      </w:pPr>
      <w:r>
        <w:rPr>
          <w:rFonts w:eastAsia="Times New Roman" w:cs="Times New Roman"/>
          <w:lang w:val="ru-RU"/>
        </w:rPr>
        <w:t>По МСФО ОС 31 программное обеспечение признается нематериальным активом при идентифицируемости, контроле и выполнении критериев признания. Затраты исследовательской стадии относятся в расходы; затраты разработки капитализируются только после подтверждения всех предусмотренных критериев, включая техническую осуществимость и наличие ресурсов для завершения. Оплата доступа к программному обеспечению поставщика обычно представляет услугу, если учреждение не контролирует отдельный программный ресурс. [М31]</w:t>
      </w:r>
    </w:p>
    <w:p>
      <w:pPr>
        <w:pStyle w:val="21"/>
        <w:keepNext/>
      </w:pPr>
      <w:r>
        <w:rPr>
          <w:rFonts w:ascii="Times New Roman" w:hAnsi="Times New Roman"/>
          <w:b/>
          <w:sz w:val="24"/>
        </w:rPr>
        <w:t>Учет аренды</w:t>
      </w:r>
    </w:p>
    <w:p>
      <w:pPr>
        <w:keepNext w:val="0"/>
        <w:jc w:val="both"/>
      </w:pPr>
      <w:r>
        <w:rPr>
          <w:rFonts w:eastAsia="Times New Roman" w:cs="Times New Roman"/>
          <w:lang w:val="ru-RU"/>
        </w:rPr>
        <w:t>Национальные правила учета аренды применяются по Правилам № 223 и Учетной политике № 191. Их необходимо отличать от модели арендатора по МСФО ОС 43, действующей с 1 января 2025 года: при начале аренды признаются актив в форме права пользования и обязательство по аренде, кроме предусмотренных исключений для краткосрочной аренды и активов низкой стоимости. Обязательство оценивают на основе дисконтированных арендных платежей; затем отдельно отражают проценты, погашение долга и амортизацию права пользования. [Н3, Н5; М43]</w:t>
      </w:r>
    </w:p>
    <w:p>
      <w:pPr>
        <w:keepNext w:val="0"/>
        <w:jc w:val="both"/>
      </w:pPr>
      <w:r>
        <w:rPr>
          <w:rFonts w:eastAsia="Times New Roman" w:cs="Times New Roman"/>
          <w:lang w:val="ru-RU"/>
        </w:rPr>
        <w:t>Например, первоначальная приведенная стоимость платежей равна 1 000 тыс. тенге, дополнительных элементов первоначальной оценки нет. По международной модели признаются право пользования 1 000 и обязательство 1 000. При проценте за период 100 и платеже 300 обязательство на конец периода составит 800: 1 000 + 100 − 300. Амортизация права пользования отражается отдельной записью и не равна автоматически арендному платежу.</w:t>
      </w:r>
    </w:p>
    <w:p w:rsidR="00D233B1" w:rsidRDefault="0001165F">
      <w:pPr>
        <w:pStyle w:val="1"/>
        <w:keepNext/>
      </w:pPr>
      <w:r>
        <w:rPr>
          <w:rFonts w:ascii="Times New Roman" w:eastAsia="Times New Roman" w:hAnsi="Times New Roman" w:cs="Times New Roman"/>
          <w:lang w:val="ru-RU"/>
        </w:rPr>
        <w:t>Инвентаризация и расчеты</w:t>
      </w:r>
    </w:p>
    <w:p w:rsidR="00D233B1" w:rsidRDefault="0001165F">
      <w:pPr>
        <w:pStyle w:val="1"/>
        <w:keepNext/>
      </w:pPr>
      <w:r>
        <w:rPr>
          <w:rFonts w:ascii="Times New Roman" w:eastAsia="Times New Roman" w:hAnsi="Times New Roman" w:cs="Times New Roman"/>
          <w:lang w:val="ru-RU"/>
        </w:rPr>
        <w:t>Инвентаризация как подтверждение данных</w:t>
      </w:r>
    </w:p>
    <w:p w:rsidR="00D233B1" w:rsidRDefault="0001165F">
      <w:pPr>
        <w:jc w:val="both"/>
      </w:pPr>
      <w:r>
        <w:rPr>
          <w:rFonts w:eastAsia="Times New Roman" w:cs="Times New Roman"/>
          <w:lang w:val="ru-RU"/>
        </w:rPr>
        <w:t>Инвентаризация сопоставляет учет с фактическим наличием и состоянием объектов. Она охватывает не только имущество на складе, но и расчеты, деньги и дру</w:t>
      </w:r>
      <w:r>
        <w:rPr>
          <w:rFonts w:eastAsia="Times New Roman" w:cs="Times New Roman"/>
          <w:lang w:val="ru-RU"/>
        </w:rPr>
        <w:t>гие статьи. Основанием служат приказ, документы комиссии и оформленные результаты. Учетная карточка сама по себе не доказывает физическое наличие.</w:t>
      </w:r>
    </w:p>
    <w:p w:rsidR="00D233B1" w:rsidRDefault="0001165F">
      <w:pPr>
        <w:jc w:val="both"/>
      </w:pPr>
      <w:r>
        <w:rPr>
          <w:rFonts w:eastAsia="Times New Roman" w:cs="Times New Roman"/>
          <w:lang w:val="ru-RU"/>
        </w:rPr>
        <w:t>Правила № 169 предусматривают разные сроки по видам объектов. Например, машины и оборудование проверяются еже</w:t>
      </w:r>
      <w:r>
        <w:rPr>
          <w:rFonts w:eastAsia="Times New Roman" w:cs="Times New Roman"/>
          <w:lang w:val="ru-RU"/>
        </w:rPr>
        <w:t xml:space="preserve">годно на 1 октября, незавершенное строительство — на 1 декабря, деньги и денежные документы — ежемесячно на последний день месяца, расчеты с разными дебиторами и кредиторами — ежегодно на 31 декабря. Поэтому указание «все проверить 31 декабря» не заменяет </w:t>
      </w:r>
      <w:r>
        <w:rPr>
          <w:rFonts w:eastAsia="Times New Roman" w:cs="Times New Roman"/>
          <w:lang w:val="ru-RU"/>
        </w:rPr>
        <w:t>календарь по правилам. [Н8]</w:t>
      </w:r>
    </w:p>
    <w:p w:rsidR="00D233B1" w:rsidRDefault="0001165F">
      <w:pPr>
        <w:jc w:val="both"/>
      </w:pPr>
      <w:r>
        <w:rPr>
          <w:rFonts w:eastAsia="Times New Roman" w:cs="Times New Roman"/>
          <w:lang w:val="ru-RU"/>
        </w:rPr>
        <w:t>Проверку организуют по местам хранения и ответственным лицам с идентификацией объектов и документов. Важно подтвердить принадлежность, количество и состояние. Объекты, не принадлежащие учреждению, отражаются в соответствующих до</w:t>
      </w:r>
      <w:r>
        <w:rPr>
          <w:rFonts w:eastAsia="Times New Roman" w:cs="Times New Roman"/>
          <w:lang w:val="ru-RU"/>
        </w:rPr>
        <w:t>кументах отдельно. Разногласия и неидентифицированные предметы должны быть разрешены до окончательного вывода о расхождении.</w:t>
      </w:r>
    </w:p>
    <w:p w:rsidR="00D233B1" w:rsidRDefault="0001165F">
      <w:pPr>
        <w:jc w:val="both"/>
      </w:pPr>
      <w:r>
        <w:rPr>
          <w:rFonts w:eastAsia="Times New Roman" w:cs="Times New Roman"/>
          <w:lang w:val="ru-RU"/>
        </w:rPr>
        <w:t>Если по карточкам числятся четыре компьютера, а обнаружены три, это сигнал для проверки, а не готовая проводка на удержание из заработной платы. Возможны перемещение, временная передача, ошибка регистра или действительная недостача. Основание ответственности и порядок возмещения выясняются отдельно от самого факта расхождения.</w:t>
      </w:r>
    </w:p>
    <w:p w:rsidR="00D233B1" w:rsidRDefault="0001165F">
      <w:pPr>
        <w:pStyle w:val="1"/>
        <w:keepNext/>
      </w:pPr>
      <w:r>
        <w:rPr>
          <w:rFonts w:ascii="Times New Roman" w:eastAsia="Times New Roman" w:hAnsi="Times New Roman" w:cs="Times New Roman"/>
          <w:lang w:val="ru-RU"/>
        </w:rPr>
        <w:t>Выбытие и оформление результатов</w:t>
      </w:r>
    </w:p>
    <w:p w:rsidR="00D233B1" w:rsidRDefault="0001165F">
      <w:pPr>
        <w:jc w:val="both"/>
      </w:pPr>
      <w:r>
        <w:rPr>
          <w:rFonts w:eastAsia="Times New Roman" w:cs="Times New Roman"/>
          <w:lang w:val="ru-RU"/>
        </w:rPr>
        <w:t>Выбытие требует установить прич</w:t>
      </w:r>
      <w:r>
        <w:rPr>
          <w:rFonts w:eastAsia="Times New Roman" w:cs="Times New Roman"/>
          <w:lang w:val="ru-RU"/>
        </w:rPr>
        <w:t>ину и надлежащее основание: передача, ликвидация, продажа или другой предусмотренный случай. Полностью амортизированный, но пригодный объект не становится автоматически отсутствующим. Пока он используется и не выбыл, сохраняется необходимость контроля и ан</w:t>
      </w:r>
      <w:r>
        <w:rPr>
          <w:rFonts w:eastAsia="Times New Roman" w:cs="Times New Roman"/>
          <w:lang w:val="ru-RU"/>
        </w:rPr>
        <w:t>алитических сведений.</w:t>
      </w:r>
    </w:p>
    <w:p w:rsidR="00D233B1" w:rsidRDefault="0001165F">
      <w:pPr>
        <w:jc w:val="both"/>
      </w:pPr>
      <w:r>
        <w:rPr>
          <w:rFonts w:eastAsia="Times New Roman" w:cs="Times New Roman"/>
          <w:lang w:val="ru-RU"/>
        </w:rPr>
        <w:t xml:space="preserve">Предположим, оборудование из примера после двух полных лет выбывает на надлежащем основании без поступлений. Первоначальная стоимость — 2 400, накопленная амортизация — 960, остаток — 1 440. По смыслу операции накопленная амортизация </w:t>
      </w:r>
      <w:r>
        <w:rPr>
          <w:rFonts w:eastAsia="Times New Roman" w:cs="Times New Roman"/>
          <w:lang w:val="ru-RU"/>
        </w:rPr>
        <w:t>списывается в дебет 2391 на 960, оставшаяся стоимость относится в дебет расхода по выбытию на 1 440, кредит 2360 составляет 2 400. Суммы дебета и кредита совпадают.</w:t>
      </w:r>
    </w:p>
    <w:p w:rsidR="00D233B1" w:rsidRDefault="0001165F">
      <w:pPr>
        <w:jc w:val="both"/>
      </w:pPr>
      <w:r>
        <w:rPr>
          <w:rFonts w:eastAsia="Times New Roman" w:cs="Times New Roman"/>
          <w:lang w:val="ru-RU"/>
        </w:rPr>
        <w:t xml:space="preserve">Если при ликвидации получены пригодные материалы, они рассматриваются как отдельный объект </w:t>
      </w:r>
      <w:r>
        <w:rPr>
          <w:rFonts w:eastAsia="Times New Roman" w:cs="Times New Roman"/>
          <w:lang w:val="ru-RU"/>
        </w:rPr>
        <w:t>оценки и учета. Выручка или компенсация также анализируется отдельно. Нельзя уменьшать стоимость недостачи произвольной предполагаемой суммой будущего взыскания без подтвержденного основания.</w:t>
      </w:r>
    </w:p>
    <w:p w:rsidR="00D233B1" w:rsidRDefault="0001165F">
      <w:pPr>
        <w:pStyle w:val="1"/>
        <w:keepNext/>
      </w:pPr>
      <w:r>
        <w:rPr>
          <w:rFonts w:ascii="Times New Roman" w:eastAsia="Times New Roman" w:hAnsi="Times New Roman" w:cs="Times New Roman"/>
          <w:lang w:val="ru-RU"/>
        </w:rPr>
        <w:t>Дебиторская и кредиторская задолженность</w:t>
      </w:r>
    </w:p>
    <w:p w:rsidR="00D233B1" w:rsidRDefault="0001165F">
      <w:pPr>
        <w:jc w:val="both"/>
      </w:pPr>
      <w:r>
        <w:rPr>
          <w:rFonts w:eastAsia="Times New Roman" w:cs="Times New Roman"/>
          <w:b/>
          <w:lang w:val="ru-RU"/>
        </w:rPr>
        <w:t>Дебиторская задолженность</w:t>
      </w:r>
      <w:r>
        <w:rPr>
          <w:rFonts w:eastAsia="Times New Roman" w:cs="Times New Roman"/>
          <w:lang w:val="ru-RU"/>
        </w:rPr>
        <w:t xml:space="preserve"> представляет требование учреждения к другой стороне, а кредиторская — обязанность перед другой стороной. Выданный поставщику аванс является активом до получения ресурса или урегулирования требования. Долг за принятый товар является обязательством. Эти суммы учитываются раздельно по контрагентам и договорам. [Н3, Н4]</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3402"/>
        <w:gridCol w:w="3118"/>
        <w:gridCol w:w="2948"/>
      </w:tblGrid>
      <w:tr w:rsidR="00D233B1">
        <w:trPr>
          <w:cantSplit/>
          <w:tblHeader/>
          <w:jc w:val="center"/>
        </w:trPr>
        <w:tc>
          <w:tcPr>
            <w:tcW w:w="3402" w:type="dxa"/>
            <w:shd w:val="clear" w:color="auto" w:fill="E8EFF5"/>
            <w:vAlign w:val="center"/>
          </w:tcPr>
          <w:p w:rsidR="00D233B1" w:rsidRDefault="0001165F">
            <w:pPr>
              <w:keepNext/>
              <w:spacing w:after="0" w:line="240" w:lineRule="auto"/>
              <w:ind w:firstLine="0"/>
            </w:pPr>
            <w:r>
              <w:rPr>
                <w:rFonts w:eastAsia="Times New Roman" w:cs="Times New Roman"/>
                <w:b/>
                <w:sz w:val="21"/>
                <w:lang w:val="ru-RU"/>
              </w:rPr>
              <w:t>Ситуация</w:t>
            </w:r>
          </w:p>
        </w:tc>
        <w:tc>
          <w:tcPr>
            <w:tcW w:w="3118" w:type="dxa"/>
            <w:shd w:val="clear" w:color="auto" w:fill="E8EFF5"/>
            <w:vAlign w:val="center"/>
          </w:tcPr>
          <w:p w:rsidR="00D233B1" w:rsidRDefault="0001165F">
            <w:pPr>
              <w:keepNext/>
              <w:spacing w:after="0" w:line="240" w:lineRule="auto"/>
              <w:ind w:firstLine="0"/>
            </w:pPr>
            <w:r>
              <w:rPr>
                <w:rFonts w:eastAsia="Times New Roman" w:cs="Times New Roman"/>
                <w:b/>
                <w:sz w:val="21"/>
                <w:lang w:val="ru-RU"/>
              </w:rPr>
              <w:t>Экономическое содержание</w:t>
            </w:r>
          </w:p>
        </w:tc>
        <w:tc>
          <w:tcPr>
            <w:tcW w:w="2948" w:type="dxa"/>
            <w:shd w:val="clear" w:color="auto" w:fill="E8EFF5"/>
            <w:vAlign w:val="center"/>
          </w:tcPr>
          <w:p w:rsidR="00D233B1" w:rsidRDefault="0001165F">
            <w:pPr>
              <w:keepNext/>
              <w:spacing w:after="0" w:line="240" w:lineRule="auto"/>
              <w:ind w:firstLine="0"/>
            </w:pPr>
            <w:r>
              <w:rPr>
                <w:rFonts w:eastAsia="Times New Roman" w:cs="Times New Roman"/>
                <w:b/>
                <w:sz w:val="21"/>
                <w:lang w:val="ru-RU"/>
              </w:rPr>
              <w:t>Что нужно подтвердить</w:t>
            </w:r>
          </w:p>
        </w:tc>
      </w:tr>
      <w:tr w:rsidR="00D233B1">
        <w:trPr>
          <w:cantSplit/>
          <w:jc w:val="center"/>
        </w:trPr>
        <w:tc>
          <w:tcPr>
            <w:tcW w:w="3402" w:type="dxa"/>
            <w:vAlign w:val="center"/>
          </w:tcPr>
          <w:p w:rsidR="00D233B1" w:rsidRDefault="0001165F">
            <w:pPr>
              <w:keepNext/>
              <w:spacing w:after="0" w:line="240" w:lineRule="auto"/>
              <w:ind w:firstLine="0"/>
            </w:pPr>
            <w:r>
              <w:rPr>
                <w:rFonts w:eastAsia="Times New Roman" w:cs="Times New Roman"/>
                <w:sz w:val="21"/>
                <w:lang w:val="ru-RU"/>
              </w:rPr>
              <w:t>Поставщику перечислен аванс</w:t>
            </w:r>
          </w:p>
        </w:tc>
        <w:tc>
          <w:tcPr>
            <w:tcW w:w="3118" w:type="dxa"/>
            <w:vAlign w:val="center"/>
          </w:tcPr>
          <w:p w:rsidR="00D233B1" w:rsidRDefault="0001165F">
            <w:pPr>
              <w:keepNext/>
              <w:spacing w:after="0" w:line="240" w:lineRule="auto"/>
              <w:ind w:firstLine="0"/>
            </w:pPr>
            <w:r>
              <w:rPr>
                <w:rFonts w:eastAsia="Times New Roman" w:cs="Times New Roman"/>
                <w:sz w:val="21"/>
                <w:lang w:val="ru-RU"/>
              </w:rPr>
              <w:t>Требование получить ресурс или возврат</w:t>
            </w:r>
          </w:p>
        </w:tc>
        <w:tc>
          <w:tcPr>
            <w:tcW w:w="2948" w:type="dxa"/>
            <w:vAlign w:val="center"/>
          </w:tcPr>
          <w:p w:rsidR="00D233B1" w:rsidRDefault="0001165F">
            <w:pPr>
              <w:keepNext/>
              <w:spacing w:after="0" w:line="240" w:lineRule="auto"/>
              <w:ind w:firstLine="0"/>
            </w:pPr>
            <w:r>
              <w:rPr>
                <w:rFonts w:eastAsia="Times New Roman" w:cs="Times New Roman"/>
                <w:sz w:val="21"/>
                <w:lang w:val="ru-RU"/>
              </w:rPr>
              <w:t>Договор платеж и дальнейшее исполнение</w:t>
            </w:r>
          </w:p>
        </w:tc>
      </w:tr>
      <w:tr w:rsidR="00D233B1">
        <w:trPr>
          <w:cantSplit/>
          <w:jc w:val="center"/>
        </w:trPr>
        <w:tc>
          <w:tcPr>
            <w:tcW w:w="3402" w:type="dxa"/>
            <w:vAlign w:val="center"/>
          </w:tcPr>
          <w:p w:rsidR="00D233B1" w:rsidRDefault="0001165F">
            <w:pPr>
              <w:keepNext/>
              <w:spacing w:after="0" w:line="240" w:lineRule="auto"/>
              <w:ind w:firstLine="0"/>
            </w:pPr>
            <w:r>
              <w:rPr>
                <w:rFonts w:eastAsia="Times New Roman" w:cs="Times New Roman"/>
                <w:sz w:val="21"/>
                <w:lang w:val="ru-RU"/>
              </w:rPr>
              <w:t>Товар принят но не оплачен</w:t>
            </w:r>
          </w:p>
        </w:tc>
        <w:tc>
          <w:tcPr>
            <w:tcW w:w="3118" w:type="dxa"/>
            <w:vAlign w:val="center"/>
          </w:tcPr>
          <w:p w:rsidR="00D233B1" w:rsidRDefault="0001165F">
            <w:pPr>
              <w:keepNext/>
              <w:spacing w:after="0" w:line="240" w:lineRule="auto"/>
              <w:ind w:firstLine="0"/>
            </w:pPr>
            <w:r>
              <w:rPr>
                <w:rFonts w:eastAsia="Times New Roman" w:cs="Times New Roman"/>
                <w:sz w:val="21"/>
                <w:lang w:val="ru-RU"/>
              </w:rPr>
              <w:t>Обязанность оплатить полученное</w:t>
            </w:r>
          </w:p>
        </w:tc>
        <w:tc>
          <w:tcPr>
            <w:tcW w:w="2948" w:type="dxa"/>
            <w:vAlign w:val="center"/>
          </w:tcPr>
          <w:p w:rsidR="00D233B1" w:rsidRDefault="0001165F">
            <w:pPr>
              <w:keepNext/>
              <w:spacing w:after="0" w:line="240" w:lineRule="auto"/>
              <w:ind w:firstLine="0"/>
            </w:pPr>
            <w:r>
              <w:rPr>
                <w:rFonts w:eastAsia="Times New Roman" w:cs="Times New Roman"/>
                <w:sz w:val="21"/>
                <w:lang w:val="ru-RU"/>
              </w:rPr>
              <w:t>Приемка счет и срок оплаты</w:t>
            </w:r>
          </w:p>
        </w:tc>
      </w:tr>
      <w:tr w:rsidR="00D233B1">
        <w:trPr>
          <w:cantSplit/>
          <w:jc w:val="center"/>
        </w:trPr>
        <w:tc>
          <w:tcPr>
            <w:tcW w:w="3402" w:type="dxa"/>
            <w:vAlign w:val="center"/>
          </w:tcPr>
          <w:p w:rsidR="00D233B1" w:rsidRDefault="0001165F">
            <w:pPr>
              <w:keepNext/>
              <w:spacing w:after="0" w:line="240" w:lineRule="auto"/>
              <w:ind w:firstLine="0"/>
            </w:pPr>
            <w:r>
              <w:rPr>
                <w:rFonts w:eastAsia="Times New Roman" w:cs="Times New Roman"/>
                <w:sz w:val="21"/>
                <w:lang w:val="ru-RU"/>
              </w:rPr>
              <w:t>Работнику выданы подотчетные деньги</w:t>
            </w:r>
          </w:p>
        </w:tc>
        <w:tc>
          <w:tcPr>
            <w:tcW w:w="3118" w:type="dxa"/>
            <w:vAlign w:val="center"/>
          </w:tcPr>
          <w:p w:rsidR="00D233B1" w:rsidRDefault="0001165F">
            <w:pPr>
              <w:keepNext/>
              <w:spacing w:after="0" w:line="240" w:lineRule="auto"/>
              <w:ind w:firstLine="0"/>
            </w:pPr>
            <w:r>
              <w:rPr>
                <w:rFonts w:eastAsia="Times New Roman" w:cs="Times New Roman"/>
                <w:sz w:val="21"/>
                <w:lang w:val="ru-RU"/>
              </w:rPr>
              <w:t>Требование представить отчет или вернуть остаток</w:t>
            </w:r>
          </w:p>
        </w:tc>
        <w:tc>
          <w:tcPr>
            <w:tcW w:w="2948" w:type="dxa"/>
            <w:vAlign w:val="center"/>
          </w:tcPr>
          <w:p w:rsidR="00D233B1" w:rsidRDefault="0001165F">
            <w:pPr>
              <w:keepNext/>
              <w:spacing w:after="0" w:line="240" w:lineRule="auto"/>
              <w:ind w:firstLine="0"/>
            </w:pPr>
            <w:r>
              <w:rPr>
                <w:rFonts w:eastAsia="Times New Roman" w:cs="Times New Roman"/>
                <w:sz w:val="21"/>
                <w:lang w:val="ru-RU"/>
              </w:rPr>
              <w:t>Выдача документы и авансовый отчет</w:t>
            </w:r>
          </w:p>
        </w:tc>
      </w:tr>
      <w:tr w:rsidR="00D233B1">
        <w:trPr>
          <w:cantSplit/>
          <w:jc w:val="center"/>
        </w:trPr>
        <w:tc>
          <w:tcPr>
            <w:tcW w:w="3402" w:type="dxa"/>
            <w:vAlign w:val="center"/>
          </w:tcPr>
          <w:p w:rsidR="00D233B1" w:rsidRDefault="0001165F">
            <w:pPr>
              <w:keepNext w:val="0"/>
              <w:spacing w:after="0" w:line="240" w:lineRule="auto"/>
              <w:ind w:firstLine="0"/>
            </w:pPr>
            <w:r>
              <w:rPr>
                <w:rFonts w:eastAsia="Times New Roman" w:cs="Times New Roman"/>
                <w:sz w:val="21"/>
                <w:lang w:val="ru-RU"/>
              </w:rPr>
              <w:t>Работа выполнена учреждением но не оплачена</w:t>
            </w:r>
          </w:p>
        </w:tc>
        <w:tc>
          <w:tcPr>
            <w:tcW w:w="3118" w:type="dxa"/>
            <w:vAlign w:val="center"/>
          </w:tcPr>
          <w:p w:rsidR="00D233B1" w:rsidRDefault="0001165F">
            <w:pPr>
              <w:keepNext w:val="0"/>
              <w:spacing w:after="0" w:line="240" w:lineRule="auto"/>
              <w:ind w:firstLine="0"/>
            </w:pPr>
            <w:r>
              <w:rPr>
                <w:rFonts w:eastAsia="Times New Roman" w:cs="Times New Roman"/>
                <w:sz w:val="21"/>
                <w:lang w:val="ru-RU"/>
              </w:rPr>
              <w:t>Требование к заказчику при нали</w:t>
            </w:r>
            <w:r>
              <w:rPr>
                <w:rFonts w:eastAsia="Times New Roman" w:cs="Times New Roman"/>
                <w:sz w:val="21"/>
                <w:lang w:val="ru-RU"/>
              </w:rPr>
              <w:t>чии основания</w:t>
            </w:r>
          </w:p>
        </w:tc>
        <w:tc>
          <w:tcPr>
            <w:tcW w:w="2948" w:type="dxa"/>
            <w:vAlign w:val="center"/>
          </w:tcPr>
          <w:p w:rsidR="00D233B1" w:rsidRDefault="0001165F">
            <w:pPr>
              <w:keepNext w:val="0"/>
              <w:spacing w:after="0" w:line="240" w:lineRule="auto"/>
              <w:ind w:firstLine="0"/>
            </w:pPr>
            <w:r>
              <w:rPr>
                <w:rFonts w:eastAsia="Times New Roman" w:cs="Times New Roman"/>
                <w:sz w:val="21"/>
                <w:lang w:val="ru-RU"/>
              </w:rPr>
              <w:t>Право на оплату и исполнение</w:t>
            </w:r>
          </w:p>
        </w:tc>
      </w:tr>
    </w:tbl>
    <w:p w:rsidR="00D233B1" w:rsidRDefault="00D233B1">
      <w:pPr>
        <w:spacing w:line="20" w:lineRule="exact"/>
        <w:ind w:firstLine="0"/>
      </w:pPr>
    </w:p>
    <w:p w:rsidR="00D233B1" w:rsidRDefault="0001165F">
      <w:pPr>
        <w:jc w:val="both"/>
      </w:pPr>
      <w:r>
        <w:rPr>
          <w:rFonts w:eastAsia="Times New Roman" w:cs="Times New Roman"/>
          <w:lang w:val="ru-RU"/>
        </w:rPr>
        <w:t>При сверке расчетов проверяют контрагента, договор, основание, дату возникновения, срок и последующее погашение. Просроченность и безнадежность не тождественны. Наличие акта сверки повышает подтвержденность сумм</w:t>
      </w:r>
      <w:r>
        <w:rPr>
          <w:rFonts w:eastAsia="Times New Roman" w:cs="Times New Roman"/>
          <w:lang w:val="ru-RU"/>
        </w:rPr>
        <w:t>ы, но не гарантирует ее взыскание. Зачет и списание возможны только при соответствующих основаниях; возраст долга сам по себе не заменяет решение.</w:t>
      </w:r>
    </w:p>
    <w:p>
      <w:pPr>
        <w:keepNext w:val="0"/>
        <w:jc w:val="both"/>
      </w:pPr>
      <w:r>
        <w:rPr>
          <w:rFonts w:eastAsia="Times New Roman" w:cs="Times New Roman"/>
          <w:lang w:val="ru-RU"/>
        </w:rPr>
        <w:t>МСФО ОС 41 предусматривает оценку ожидаемых кредитных убытков для финансовых активов в его сфере, включая соответствующую договорную дебиторскую задолженность. Анализ учитывает не только уже наступившую просрочку, но и обоснованную информацию о будущем взыскании. Налоговая задолженность и авансы за нефинансовые ресурсы не включаются в эту модель автоматически. Создание резерва и прекращение признания требования являются разными операциями. [М41]</w:t>
      </w:r>
    </w:p>
    <w:p w:rsidR="00D233B1" w:rsidRDefault="0001165F">
      <w:pPr>
        <w:pStyle w:val="1"/>
        <w:keepNext/>
      </w:pPr>
      <w:r>
        <w:rPr>
          <w:rFonts w:ascii="Times New Roman" w:eastAsia="Times New Roman" w:hAnsi="Times New Roman" w:cs="Times New Roman"/>
          <w:lang w:val="ru-RU"/>
        </w:rPr>
        <w:t>Оценочные обязательства и неопределенность</w:t>
      </w:r>
    </w:p>
    <w:p w:rsidR="00D233B1" w:rsidRDefault="0001165F">
      <w:pPr>
        <w:jc w:val="both"/>
      </w:pPr>
      <w:r>
        <w:rPr>
          <w:rFonts w:eastAsia="Times New Roman" w:cs="Times New Roman"/>
          <w:lang w:val="ru-RU"/>
        </w:rPr>
        <w:t xml:space="preserve">По обычной задолженности сумма и основание обычно определены. </w:t>
      </w:r>
      <w:r>
        <w:rPr>
          <w:rFonts w:eastAsia="Times New Roman" w:cs="Times New Roman"/>
          <w:b/>
          <w:lang w:val="ru-RU"/>
        </w:rPr>
        <w:t>Оценочное обязательство</w:t>
      </w:r>
      <w:r>
        <w:rPr>
          <w:rFonts w:eastAsia="Times New Roman" w:cs="Times New Roman"/>
          <w:lang w:val="ru-RU"/>
        </w:rPr>
        <w:t xml:space="preserve"> связано с неопределенностью величины или срока при выполнении условий признания. Его анализируют по существующей обязанности и доступной оценке. Возможный будущий расход без соответствующей обязанности не превращается в обязательств</w:t>
      </w:r>
      <w:r>
        <w:rPr>
          <w:rFonts w:eastAsia="Times New Roman" w:cs="Times New Roman"/>
          <w:lang w:val="ru-RU"/>
        </w:rPr>
        <w:t>о только потому, что руководитель считает его вероятным.</w:t>
      </w:r>
    </w:p>
    <w:p w:rsidR="00D233B1" w:rsidRDefault="0001165F">
      <w:pPr>
        <w:jc w:val="both"/>
      </w:pPr>
      <w:r>
        <w:rPr>
          <w:rFonts w:eastAsia="Times New Roman" w:cs="Times New Roman"/>
          <w:lang w:val="ru-RU"/>
        </w:rPr>
        <w:t>Для годового закрытия нужны расчеты по отпускным и другим предусмотренным оценкам, подтверждения судебных и договорных обстоятельств, документы последующего погашения. Обновление оценки и исправление</w:t>
      </w:r>
      <w:r>
        <w:rPr>
          <w:rFonts w:eastAsia="Times New Roman" w:cs="Times New Roman"/>
          <w:lang w:val="ru-RU"/>
        </w:rPr>
        <w:t xml:space="preserve"> ранее допущенной ошибки имеют разные основания. В пояснениях важно не скрывать существенную неопределенность за одной итоговой цифрой.</w:t>
      </w:r>
    </w:p>
    <w:p>
      <w:pPr>
        <w:keepNext w:val="0"/>
        <w:jc w:val="both"/>
      </w:pPr>
      <w:r>
        <w:rPr>
          <w:rFonts w:eastAsia="Times New Roman" w:cs="Times New Roman"/>
          <w:lang w:val="ru-RU"/>
        </w:rPr>
        <w:t>По МСФО ОС 19 оценочное обязательство признается при одновременном наличии существующей юридической или обусловленной практикой обязанности из прошлого события, вероятного выбытия ресурсов и надежной оценки. При невыполнении условий признания возможное обязательство раскрывается как условное, кроме случаев маловероятного выбытия. Для существенно отсроченного исполнения учитывается временная стоимость денег. Планируемые будущие ремонты без существующей обязанности не создают оценочного обязательства. [М19]</w:t>
      </w:r>
    </w:p>
    <w:p>
      <w:pPr>
        <w:keepNext w:val="0"/>
        <w:jc w:val="both"/>
      </w:pPr>
      <w:r>
        <w:rPr>
          <w:rFonts w:eastAsia="Times New Roman" w:cs="Times New Roman"/>
          <w:lang w:val="ru-RU"/>
        </w:rPr>
        <w:t>Пример: по судебному спору учреждение имеет существующую обязанность; юристы оценивают выплату как вероятную, наиболее обоснованная сумма — 700 тыс. тенге, эффект дисконтирования несущественен. Признаются расход и оценочное обязательство на 700. Если обязанность лишь возможна и зависит от будущего решения, оценивается необходимость раскрытия условного обязательства. Начисления за заработанные отпуска регулируются стандартом о вознаграждениях работникам, а не общим стандартом об оценочных обязательствах. [М19, М39]</w:t>
      </w:r>
    </w:p>
    <w:p w:rsidR="00D233B1" w:rsidRDefault="0001165F">
      <w:pPr>
        <w:pStyle w:val="1"/>
        <w:keepNext/>
      </w:pPr>
      <w:r>
        <w:rPr>
          <w:rFonts w:ascii="Times New Roman" w:eastAsia="Times New Roman" w:hAnsi="Times New Roman" w:cs="Times New Roman"/>
          <w:lang w:val="ru-RU"/>
        </w:rPr>
        <w:t>Частые ошибки</w:t>
      </w:r>
    </w:p>
    <w:p w:rsidR="00D233B1" w:rsidRDefault="0001165F">
      <w:pPr>
        <w:pStyle w:val="a0"/>
        <w:ind w:left="510" w:hanging="170"/>
        <w:jc w:val="both"/>
      </w:pPr>
      <w:r>
        <w:rPr>
          <w:rFonts w:eastAsia="Times New Roman" w:cs="Times New Roman"/>
          <w:lang w:val="ru-RU"/>
        </w:rPr>
        <w:t>Считать основным средством любой дорогой предмет без анализа назначения.</w:t>
      </w:r>
    </w:p>
    <w:p w:rsidR="00D233B1" w:rsidRDefault="0001165F">
      <w:pPr>
        <w:pStyle w:val="a0"/>
        <w:ind w:left="510" w:hanging="170"/>
        <w:jc w:val="both"/>
      </w:pPr>
      <w:r>
        <w:rPr>
          <w:rFonts w:eastAsia="Times New Roman" w:cs="Times New Roman"/>
          <w:lang w:val="ru-RU"/>
        </w:rPr>
        <w:t>Выбирать норму амортизации по жел</w:t>
      </w:r>
      <w:r>
        <w:rPr>
          <w:rFonts w:eastAsia="Times New Roman" w:cs="Times New Roman"/>
          <w:lang w:val="ru-RU"/>
        </w:rPr>
        <w:t>аемому финансовому результату.</w:t>
      </w:r>
    </w:p>
    <w:p w:rsidR="00D233B1" w:rsidRDefault="0001165F">
      <w:pPr>
        <w:pStyle w:val="a0"/>
        <w:ind w:left="510" w:hanging="170"/>
        <w:jc w:val="both"/>
      </w:pPr>
      <w:r>
        <w:rPr>
          <w:rFonts w:eastAsia="Times New Roman" w:cs="Times New Roman"/>
          <w:lang w:val="ru-RU"/>
        </w:rPr>
        <w:t>Смешивать имущество учреждения и имущество на хранении.</w:t>
      </w:r>
    </w:p>
    <w:p w:rsidR="00D233B1" w:rsidRDefault="0001165F">
      <w:pPr>
        <w:pStyle w:val="a0"/>
        <w:ind w:left="510" w:hanging="170"/>
        <w:jc w:val="both"/>
      </w:pPr>
      <w:r>
        <w:rPr>
          <w:rFonts w:eastAsia="Times New Roman" w:cs="Times New Roman"/>
          <w:lang w:val="ru-RU"/>
        </w:rPr>
        <w:t>Признавать каждый аванс расходом и каждую дебиторскую сумму обязательством.</w:t>
      </w:r>
    </w:p>
    <w:p w:rsidR="00D233B1" w:rsidRDefault="0001165F">
      <w:pPr>
        <w:pStyle w:val="a0"/>
        <w:ind w:left="510" w:hanging="170"/>
        <w:jc w:val="both"/>
      </w:pPr>
      <w:r>
        <w:rPr>
          <w:rFonts w:eastAsia="Times New Roman" w:cs="Times New Roman"/>
          <w:lang w:val="ru-RU"/>
        </w:rPr>
        <w:t>Списывать задолженность только из-за ее возраста без необходимого основания.</w:t>
      </w:r>
    </w:p>
    <w:p w:rsidR="00D233B1" w:rsidRDefault="0001165F">
      <w:pPr>
        <w:pStyle w:val="1"/>
        <w:keepNext/>
      </w:pPr>
      <w:r>
        <w:rPr>
          <w:rFonts w:ascii="Times New Roman" w:eastAsia="Times New Roman" w:hAnsi="Times New Roman" w:cs="Times New Roman"/>
          <w:lang w:val="ru-RU"/>
        </w:rPr>
        <w:t>Вопросы для обсу</w:t>
      </w:r>
      <w:r>
        <w:rPr>
          <w:rFonts w:ascii="Times New Roman" w:eastAsia="Times New Roman" w:hAnsi="Times New Roman" w:cs="Times New Roman"/>
          <w:lang w:val="ru-RU"/>
        </w:rPr>
        <w:t>ждения</w:t>
      </w:r>
    </w:p>
    <w:p w:rsidR="00D233B1" w:rsidRDefault="0001165F">
      <w:pPr>
        <w:jc w:val="both"/>
      </w:pPr>
      <w:r>
        <w:rPr>
          <w:rFonts w:eastAsia="Times New Roman" w:cs="Times New Roman"/>
          <w:lang w:val="ru-RU"/>
        </w:rPr>
        <w:t>1. Как сервисный потенциал связан с признанием актива?</w:t>
      </w:r>
    </w:p>
    <w:p w:rsidR="00D233B1" w:rsidRDefault="0001165F">
      <w:pPr>
        <w:jc w:val="both"/>
      </w:pPr>
      <w:r>
        <w:rPr>
          <w:rFonts w:eastAsia="Times New Roman" w:cs="Times New Roman"/>
          <w:lang w:val="ru-RU"/>
        </w:rPr>
        <w:t>2. Чем первоначальная стоимость отличается от текущей рыночной цены?</w:t>
      </w:r>
    </w:p>
    <w:p w:rsidR="00D233B1" w:rsidRDefault="0001165F">
      <w:pPr>
        <w:jc w:val="both"/>
      </w:pPr>
      <w:r>
        <w:rPr>
          <w:rFonts w:eastAsia="Times New Roman" w:cs="Times New Roman"/>
          <w:lang w:val="ru-RU"/>
        </w:rPr>
        <w:t>3. Почему амортизация не является денежным резервом?</w:t>
      </w:r>
    </w:p>
    <w:p w:rsidR="00D233B1" w:rsidRDefault="0001165F">
      <w:pPr>
        <w:jc w:val="both"/>
      </w:pPr>
      <w:r>
        <w:rPr>
          <w:rFonts w:eastAsia="Times New Roman" w:cs="Times New Roman"/>
          <w:lang w:val="ru-RU"/>
        </w:rPr>
        <w:t>4. Какие признаки различают отдельное программное право и услугу доступа</w:t>
      </w:r>
      <w:r>
        <w:rPr>
          <w:rFonts w:eastAsia="Times New Roman" w:cs="Times New Roman"/>
          <w:lang w:val="ru-RU"/>
        </w:rPr>
        <w:t>?</w:t>
      </w:r>
    </w:p>
    <w:p w:rsidR="00D233B1" w:rsidRDefault="0001165F">
      <w:pPr>
        <w:jc w:val="both"/>
      </w:pPr>
      <w:r>
        <w:rPr>
          <w:rFonts w:eastAsia="Times New Roman" w:cs="Times New Roman"/>
          <w:lang w:val="ru-RU"/>
        </w:rPr>
        <w:t>5. Почему инвентаризация расчетов отличается от пересчета имущества?</w:t>
      </w:r>
    </w:p>
    <w:p w:rsidR="00D233B1" w:rsidRDefault="0001165F">
      <w:pPr>
        <w:jc w:val="both"/>
      </w:pPr>
      <w:r>
        <w:rPr>
          <w:rFonts w:eastAsia="Times New Roman" w:cs="Times New Roman"/>
          <w:lang w:val="ru-RU"/>
        </w:rPr>
        <w:t>6. Чем оценочное обязательство отличается от планируемого будущего расхода?</w:t>
      </w:r>
    </w:p>
    <w:p w:rsidR="00D233B1" w:rsidRDefault="0001165F">
      <w:pPr>
        <w:pStyle w:val="1"/>
        <w:keepNext/>
      </w:pPr>
      <w:r>
        <w:rPr>
          <w:rFonts w:ascii="Times New Roman" w:eastAsia="Times New Roman" w:hAnsi="Times New Roman" w:cs="Times New Roman"/>
          <w:lang w:val="ru-RU"/>
        </w:rPr>
        <w:t>Литература и нормативные источники</w:t>
      </w:r>
    </w:p>
    <w:p>
      <w:pPr>
        <w:spacing w:after="40"/>
      </w:pPr>
      <w:r>
        <w:t>НПА приведены в редакциях, действующих на 27 октября 2026 года. МСФО ОС — по материалам IPSASB; даты начала применения отдельных стандартов указаны в тексте.</w:t>
      </w:r>
    </w:p>
    <w:p>
      <w:pPr>
        <w:spacing w:after="40"/>
      </w:pPr>
      <w:r>
        <w:t xml:space="preserve">[Н3] </w:t>
      </w:r>
      <w:hyperlink r:id="rId8">
        <w:r>
          <w:rPr>
            <w:rFonts w:ascii="Times New Roman" w:hAnsi="Times New Roman"/>
            <w:sz w:val="24"/>
          </w:rPr>
          <w:t>Приказ Министра финансов РК от 12 мая 2025 года № 223 «Об утверждении Правил ведения бухгалтерского учета в государственных учреждениях».</w:t>
        </w:r>
      </w:hyperlink>
    </w:p>
    <w:p>
      <w:pPr>
        <w:spacing w:after="40"/>
      </w:pPr>
      <w:r>
        <w:t xml:space="preserve">[Н4] </w:t>
      </w:r>
      <w:hyperlink r:id="rId9">
        <w:r>
          <w:rPr>
            <w:rFonts w:ascii="Times New Roman" w:hAnsi="Times New Roman"/>
            <w:sz w:val="24"/>
          </w:rPr>
          <w:t>Приказ Министра финансов РК от 16 апреля 2025 года № 170 «Об утверждении Плана счетов бухгалтерского учета государственных учреждений».</w:t>
        </w:r>
      </w:hyperlink>
    </w:p>
    <w:p>
      <w:pPr>
        <w:spacing w:after="40"/>
      </w:pPr>
      <w:r>
        <w:t xml:space="preserve">[Н5] </w:t>
      </w:r>
      <w:hyperlink r:id="rId10">
        <w:r>
          <w:rPr>
            <w:rFonts w:ascii="Times New Roman" w:hAnsi="Times New Roman"/>
            <w:sz w:val="24"/>
          </w:rPr>
          <w:t>Приказ Министра финансов РК от 24 апреля 2025 года № 191 «Об утверждении Учетной политики».</w:t>
        </w:r>
      </w:hyperlink>
    </w:p>
    <w:p>
      <w:pPr>
        <w:spacing w:after="40"/>
      </w:pPr>
      <w:r>
        <w:t xml:space="preserve">[Н8] </w:t>
      </w:r>
      <w:hyperlink r:id="rId11">
        <w:r>
          <w:rPr>
            <w:rFonts w:ascii="Times New Roman" w:hAnsi="Times New Roman"/>
            <w:sz w:val="24"/>
          </w:rPr>
          <w:t>Приказ Министра финансов РК от 16 апреля 2025 года № 169 «Об утверждении Правил проведения инвентаризации в государственных учреждениях».</w:t>
        </w:r>
      </w:hyperlink>
    </w:p>
    <w:p>
      <w:pPr>
        <w:spacing w:after="40"/>
      </w:pPr>
      <w:r>
        <w:t xml:space="preserve">[Н20] </w:t>
      </w:r>
      <w:hyperlink r:id="rId12">
        <w:r>
          <w:rPr>
            <w:rFonts w:ascii="Times New Roman" w:hAnsi="Times New Roman"/>
            <w:sz w:val="24"/>
          </w:rPr>
          <w:t>Приказ Министра финансов РК от 25 ноября 2025 года № 721 о внесении изменений в План счетов № 170, действующих с 1 января 2026 года.</w:t>
        </w:r>
      </w:hyperlink>
    </w:p>
    <w:p>
      <w:pPr>
        <w:spacing w:after="40"/>
      </w:pPr>
      <w:r>
        <w:t xml:space="preserve">[М19] </w:t>
      </w:r>
      <w:hyperlink r:id="rId16">
        <w:r>
          <w:rPr>
            <w:rFonts w:ascii="Times New Roman" w:hAnsi="Times New Roman"/>
            <w:sz w:val="24"/>
          </w:rPr>
          <w:t>МСФО ОС (IPSAS) 19 «Оценочные обязательства, условные обязательства и условные активы». IPSASB, редакция сборника 2026 года.</w:t>
        </w:r>
      </w:hyperlink>
    </w:p>
    <w:p>
      <w:pPr>
        <w:spacing w:after="40"/>
      </w:pPr>
      <w:r>
        <w:t xml:space="preserve">[М21] </w:t>
      </w:r>
      <w:hyperlink r:id="rId16">
        <w:r>
          <w:rPr>
            <w:rFonts w:ascii="Times New Roman" w:hAnsi="Times New Roman"/>
            <w:sz w:val="24"/>
          </w:rPr>
          <w:t>МСФО ОС (IPSAS) 21 «Обесценение активов, не генерирующих денежные средства». IPSASB, редакция сборника 2026 года.</w:t>
        </w:r>
      </w:hyperlink>
    </w:p>
    <w:p>
      <w:pPr>
        <w:spacing w:after="40"/>
      </w:pPr>
      <w:r>
        <w:t xml:space="preserve">[М26] </w:t>
      </w:r>
      <w:hyperlink r:id="rId16">
        <w:r>
          <w:rPr>
            <w:rFonts w:ascii="Times New Roman" w:hAnsi="Times New Roman"/>
            <w:sz w:val="24"/>
          </w:rPr>
          <w:t>МСФО ОС (IPSAS) 26 «Обесценение активов, генерирующих денежные средства». IPSASB, редакция сборника 2026 года.</w:t>
        </w:r>
      </w:hyperlink>
    </w:p>
    <w:p>
      <w:pPr>
        <w:spacing w:after="40"/>
      </w:pPr>
      <w:r>
        <w:t xml:space="preserve">[М31] </w:t>
      </w:r>
      <w:hyperlink r:id="rId16">
        <w:r>
          <w:rPr>
            <w:rFonts w:ascii="Times New Roman" w:hAnsi="Times New Roman"/>
            <w:sz w:val="24"/>
          </w:rPr>
          <w:t>МСФО ОС (IPSAS) 31 «Нематериальные активы». IPSASB, редакция сборника 2026 года.</w:t>
        </w:r>
      </w:hyperlink>
    </w:p>
    <w:p>
      <w:pPr>
        <w:spacing w:after="40"/>
      </w:pPr>
      <w:r>
        <w:t xml:space="preserve">[М39] </w:t>
      </w:r>
      <w:hyperlink r:id="rId17">
        <w:r>
          <w:rPr>
            <w:rFonts w:ascii="Times New Roman" w:hAnsi="Times New Roman"/>
            <w:sz w:val="24"/>
          </w:rPr>
          <w:t>МСФО ОС (IPSAS) 39 «Вознаграждения работникам». IPSASB, редакция сборника 2026 года.</w:t>
        </w:r>
      </w:hyperlink>
    </w:p>
    <w:p>
      <w:pPr>
        <w:spacing w:after="40"/>
      </w:pPr>
      <w:r>
        <w:t xml:space="preserve">[М41] </w:t>
      </w:r>
      <w:hyperlink r:id="rId16">
        <w:r>
          <w:rPr>
            <w:rFonts w:ascii="Times New Roman" w:hAnsi="Times New Roman"/>
            <w:sz w:val="24"/>
          </w:rPr>
          <w:t>МСФО ОС (IPSAS) 41 «Финансовые инструменты». IPSASB, редакция сборника 2026 года.</w:t>
        </w:r>
      </w:hyperlink>
    </w:p>
    <w:p>
      <w:pPr>
        <w:spacing w:after="40"/>
      </w:pPr>
      <w:r>
        <w:t xml:space="preserve">[М43] </w:t>
      </w:r>
      <w:hyperlink r:id="rId18">
        <w:r>
          <w:rPr>
            <w:rFonts w:ascii="Times New Roman" w:hAnsi="Times New Roman"/>
            <w:sz w:val="24"/>
          </w:rPr>
          <w:t>МСФО ОС (IPSAS) 43 «Аренда». IPSASB, редакция сборника 2026 года.</w:t>
        </w:r>
      </w:hyperlink>
    </w:p>
    <w:p>
      <w:pPr>
        <w:spacing w:after="40"/>
      </w:pPr>
      <w:r>
        <w:t xml:space="preserve">[М45] </w:t>
      </w:r>
      <w:hyperlink r:id="rId19">
        <w:r>
          <w:rPr>
            <w:rFonts w:ascii="Times New Roman" w:hAnsi="Times New Roman"/>
            <w:sz w:val="24"/>
          </w:rPr>
          <w:t>МСФО ОС (IPSAS) 45 «Основные средства». IPSASB, редакция сборника 2026 года.</w:t>
        </w:r>
      </w:hyperlink>
    </w:p>
    <w:p>
      <w:pPr>
        <w:spacing w:after="40"/>
      </w:pPr>
      <w:r>
        <w:t xml:space="preserve">[М46] </w:t>
      </w:r>
      <w:hyperlink r:id="rId20">
        <w:r>
          <w:rPr>
            <w:rFonts w:ascii="Times New Roman" w:hAnsi="Times New Roman"/>
            <w:sz w:val="24"/>
          </w:rPr>
          <w:t>МСФО ОС (IPSAS) 46 «Оценка». IPSASB, редакция сборника 2026 года.</w:t>
        </w:r>
      </w:hyperlink>
    </w:p>
    <w:p>
      <w:pPr>
        <w:spacing w:after="40"/>
      </w:pPr>
      <w:r>
        <w:t>Учебная литература: [Л1] и [Л5] в программе курса.</w:t>
      </w:r>
    </w:p>
    <w:sectPr w:rsidR="00D233B1" w:rsidSect="00034616">
      <w:footerReference w:type="default" r:id="rId13"/>
      <w:pgSz w:w="11906" w:h="16838"/>
      <w:pgMar w:top="1134" w:right="113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65F" w:rsidRDefault="0001165F">
      <w:pPr>
        <w:spacing w:after="0" w:line="240" w:lineRule="auto"/>
      </w:pPr>
      <w:r>
        <w:separator/>
      </w:r>
    </w:p>
  </w:endnote>
  <w:endnote w:type="continuationSeparator" w:id="0">
    <w:p w:rsidR="0001165F" w:rsidRDefault="00011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3B1" w:rsidRDefault="0001165F">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65F" w:rsidRDefault="0001165F">
      <w:pPr>
        <w:spacing w:after="0" w:line="240" w:lineRule="auto"/>
      </w:pPr>
      <w:r>
        <w:separator/>
      </w:r>
    </w:p>
  </w:footnote>
  <w:footnote w:type="continuationSeparator" w:id="0">
    <w:p w:rsidR="0001165F" w:rsidRDefault="000116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165F"/>
    <w:rsid w:val="00034616"/>
    <w:rsid w:val="0006063C"/>
    <w:rsid w:val="0015074B"/>
    <w:rsid w:val="0029639D"/>
    <w:rsid w:val="00326F90"/>
    <w:rsid w:val="008B0F8A"/>
    <w:rsid w:val="00AA1D8D"/>
    <w:rsid w:val="00B47730"/>
    <w:rsid w:val="00CB0664"/>
    <w:rsid w:val="00D233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74B2B2F-833F-4709-BC71-7A9BE966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64" w:lineRule="auto"/>
      <w:ind w:firstLine="709"/>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G25E00002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rus/docs/G25E00007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G25E000016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rus/docs/G25E0000191" TargetMode="External"/><Relationship Id="rId4" Type="http://schemas.openxmlformats.org/officeDocument/2006/relationships/settings" Target="settings.xml"/><Relationship Id="rId9" Type="http://schemas.openxmlformats.org/officeDocument/2006/relationships/hyperlink" Target="https://adilet.zan.kz/rus/docs/G25E0000170" TargetMode="External"/><Relationship Id="rId14" Type="http://schemas.openxmlformats.org/officeDocument/2006/relationships/fontTable" Target="fontTable.xml"/><Relationship Id="rId16" Type="http://schemas.openxmlformats.org/officeDocument/2006/relationships/hyperlink" Target="https://www.ipsasb.org/publications/2026-handbook-international-public-sector-accounting-standards-board-pronouncements" TargetMode="External"/><Relationship Id="rId17" Type="http://schemas.openxmlformats.org/officeDocument/2006/relationships/hyperlink" Target="https://www.ipsasb.org/publications/ipsas-39-employee-benefits-2" TargetMode="External"/><Relationship Id="rId18" Type="http://schemas.openxmlformats.org/officeDocument/2006/relationships/hyperlink" Target="https://www.ipsasb.org/publications/ipsas-43-leases" TargetMode="External"/><Relationship Id="rId19" Type="http://schemas.openxmlformats.org/officeDocument/2006/relationships/hyperlink" Target="https://www.ipsasb.org/publications/ipsas-45-property-plant-and-equipment" TargetMode="External"/><Relationship Id="rId20" Type="http://schemas.openxmlformats.org/officeDocument/2006/relationships/hyperlink" Target="https://www.ipsasb.org/publications/ipsas-46-meas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2B299-0CFD-4E41-A94E-57702A5BC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долгосрочных активов и обязательств</dc:title>
  <dc:subject>Бухгалтерский учет в бюджетных организациях</dc:subject>
  <dc:creator/>
  <cp:keywords>Казахстан; государственные учреждения; учет; лекции; 2026</cp:keywords>
  <dc:description>generated by python-docx</dc:description>
  <cp:lastModifiedBy>Гульжан Байтикенова</cp:lastModifiedBy>
  <cp:revision>2</cp:revision>
  <dcterms:created xsi:type="dcterms:W3CDTF">2013-12-23T23:15:00Z</dcterms:created>
  <dcterms:modified xsi:type="dcterms:W3CDTF">2026-10-21T11:11:00Z</dcterms:modified>
  <cp:category/>
</cp:coreProperties>
</file>