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E0" w:rsidRDefault="00EA2B9C">
      <w:pPr>
        <w:keepNext/>
        <w:jc w:val="both"/>
      </w:pPr>
      <w:r>
        <w:rPr>
          <w:rFonts w:eastAsia="Times New Roman" w:cs="Times New Roman"/>
          <w:b/>
          <w:lang w:val="ru-RU"/>
        </w:rPr>
        <w:t>ЛЕКЦИЯ 4</w:t>
      </w:r>
    </w:p>
    <w:p w:rsidR="006A68E0" w:rsidRDefault="00EA2B9C">
      <w:pPr>
        <w:pStyle w:val="aa"/>
        <w:keepNext/>
        <w:spacing w:after="160"/>
      </w:pPr>
      <w:r>
        <w:rPr>
          <w:rFonts w:ascii="Times New Roman" w:eastAsia="Times New Roman" w:hAnsi="Times New Roman" w:cs="Times New Roman"/>
          <w:lang w:val="ru-RU"/>
        </w:rPr>
        <w:t>Управление расходами в бюджетных учреждениях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Цель лекции. Раскрыть признание расходов по начислению, их классификацию и методы анализа отклонений с учетом объема и качества услуг.</w:t>
      </w:r>
    </w:p>
    <w:p w:rsidR="006A68E0" w:rsidRDefault="00EA2B9C">
      <w:pPr>
        <w:jc w:val="both"/>
      </w:pPr>
      <w:r>
        <w:rPr>
          <w:rFonts w:eastAsia="Times New Roman" w:cs="Times New Roman"/>
          <w:b/>
          <w:lang w:val="ru-RU"/>
        </w:rPr>
        <w:t>План лекции.</w:t>
      </w:r>
      <w:r>
        <w:rPr>
          <w:rFonts w:eastAsia="Times New Roman" w:cs="Times New Roman"/>
          <w:lang w:val="ru-RU"/>
        </w:rPr>
        <w:t xml:space="preserve"> Расход и платеж; текущие и капитальные затраты; предварительный текущий и последующий контроль; анали</w:t>
      </w:r>
      <w:r>
        <w:rPr>
          <w:rFonts w:eastAsia="Times New Roman" w:cs="Times New Roman"/>
          <w:lang w:val="ru-RU"/>
        </w:rPr>
        <w:t>з отклонений; стоимость и качество услуги.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1 Расход платеж и затрата на приобретение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Расходование бюджетных средств анализируют одновременно с точки зрения исполнения бюджета и финансового учета. Платеж показывает перечисление денег. Приобретение показывае</w:t>
      </w:r>
      <w:r>
        <w:rPr>
          <w:rFonts w:eastAsia="Times New Roman" w:cs="Times New Roman"/>
          <w:lang w:val="ru-RU"/>
        </w:rPr>
        <w:t>т поступление ресурса или услуги. Расход по начислению отражает потребление ресурса либо другое уменьшение результата периода по соответствующим правилам. Смешение этих категорий мешает понять, что действительно использовано и какие обязательства сохраняют</w:t>
      </w:r>
      <w:r>
        <w:rPr>
          <w:rFonts w:eastAsia="Times New Roman" w:cs="Times New Roman"/>
          <w:lang w:val="ru-RU"/>
        </w:rPr>
        <w:t>ся.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Пример: учреждение приобрело материалы на 500 тыс. тенге, из которых использовано 320. Поставщику перечислено 400. При отсутствии начальных остатков по этой операции запасы составят 180, задолженность — 100, расход по использованным материалам — 320, к</w:t>
      </w:r>
      <w:r>
        <w:rPr>
          <w:rFonts w:eastAsia="Times New Roman" w:cs="Times New Roman"/>
          <w:lang w:val="ru-RU"/>
        </w:rPr>
        <w:t>ассовый платеж — 400. Все четыре показателя правильны, но каждый отвечает на свой вопрос.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Управление расходами начинается до заключения договора. Сначала нужно подтвердить задачу, объем услуги, потребность и источник обеспечения. После этого оценивают цену</w:t>
      </w:r>
      <w:r>
        <w:rPr>
          <w:rFonts w:eastAsia="Times New Roman" w:cs="Times New Roman"/>
          <w:lang w:val="ru-RU"/>
        </w:rPr>
        <w:t>, сроки и условия поставки. Если потребность не определена, даже самая низкая закупочная цена не гарантирует полезного результата.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По МСФО ОС 1 и Концептуальным основам расход связан с уменьшением экономических выгод или сервисного потенциала, уменьшающим чистые активы, кроме распределений собственникам. Его признание определяется содержанием события. Полученные, но не оплаченные услуги признаются в соответствующем периоде; выплаченный аванс остается активом, пока существует право на будущий ресурс или возврат. [Н3, Н5; М0, М1]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2 Классификации расходов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В бюджете применяются классификационные признаки назначения расходов. В финансовом учете используютс</w:t>
      </w:r>
      <w:r>
        <w:rPr>
          <w:rFonts w:eastAsia="Times New Roman" w:cs="Times New Roman"/>
          <w:lang w:val="ru-RU"/>
        </w:rPr>
        <w:t>я счета и правила признания. Соответствие между двумя системами устанавливается для конкретной операции; одинаковое словесное название не заменяет проверку содержания. [Н1, Н3, Н6]</w:t>
      </w:r>
    </w:p>
    <w:p w:rsidR="006A68E0" w:rsidRDefault="00EA2B9C">
      <w:pPr>
        <w:jc w:val="both"/>
      </w:pPr>
      <w:r>
        <w:rPr>
          <w:rFonts w:eastAsia="Times New Roman" w:cs="Times New Roman"/>
          <w:b/>
          <w:lang w:val="ru-RU"/>
        </w:rPr>
        <w:t>Текущие затраты</w:t>
      </w:r>
      <w:r>
        <w:rPr>
          <w:rFonts w:eastAsia="Times New Roman" w:cs="Times New Roman"/>
          <w:lang w:val="ru-RU"/>
        </w:rPr>
        <w:t xml:space="preserve"> обычно обеспечивают деятельность периода: труд, коммунальны</w:t>
      </w:r>
      <w:r>
        <w:rPr>
          <w:rFonts w:eastAsia="Times New Roman" w:cs="Times New Roman"/>
          <w:lang w:val="ru-RU"/>
        </w:rPr>
        <w:t xml:space="preserve">е услуги, использованные материалы, содержание имущества. </w:t>
      </w:r>
      <w:r>
        <w:rPr>
          <w:rFonts w:eastAsia="Times New Roman" w:cs="Times New Roman"/>
          <w:b/>
          <w:lang w:val="ru-RU"/>
        </w:rPr>
        <w:t>Капитальные затраты</w:t>
      </w:r>
      <w:r>
        <w:rPr>
          <w:rFonts w:eastAsia="Times New Roman" w:cs="Times New Roman"/>
          <w:lang w:val="ru-RU"/>
        </w:rPr>
        <w:t xml:space="preserve"> связаны с созданием или приобретением долгосрочного ресурса и иными предусмотренными улучшениями. Разграничение опирается на характер результата. Высокая цена сама по себе не пре</w:t>
      </w:r>
      <w:r>
        <w:rPr>
          <w:rFonts w:eastAsia="Times New Roman" w:cs="Times New Roman"/>
          <w:lang w:val="ru-RU"/>
        </w:rPr>
        <w:t>вращает текущую услугу в актив.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3402"/>
        <w:gridCol w:w="3061"/>
        <w:gridCol w:w="3005"/>
      </w:tblGrid>
      <w:tr w:rsidR="006A68E0">
        <w:trPr>
          <w:cantSplit/>
          <w:tblHeader/>
          <w:jc w:val="center"/>
        </w:trPr>
        <w:tc>
          <w:tcPr>
            <w:tcW w:w="3402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Операция</w:t>
            </w:r>
          </w:p>
        </w:tc>
        <w:tc>
          <w:tcPr>
            <w:tcW w:w="3061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Учетный вопрос</w:t>
            </w:r>
          </w:p>
        </w:tc>
        <w:tc>
          <w:tcPr>
            <w:tcW w:w="3005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Типичная ошибка</w:t>
            </w:r>
          </w:p>
        </w:tc>
      </w:tr>
      <w:tr w:rsidR="006A68E0">
        <w:trPr>
          <w:cantSplit/>
          <w:jc w:val="center"/>
        </w:trPr>
        <w:tc>
          <w:tcPr>
            <w:tcW w:w="3402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Приобретен компьютер для длительного использования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Выполнены ли условия признания основного средства</w:t>
            </w:r>
          </w:p>
        </w:tc>
        <w:tc>
          <w:tcPr>
            <w:tcW w:w="3005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Списать всю покупку как текущий расход</w:t>
            </w:r>
          </w:p>
        </w:tc>
      </w:tr>
      <w:tr w:rsidR="006A68E0">
        <w:trPr>
          <w:cantSplit/>
          <w:jc w:val="center"/>
        </w:trPr>
        <w:tc>
          <w:tcPr>
            <w:tcW w:w="3402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Оплачена подписка на сервис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За какой </w:t>
            </w:r>
            <w:r>
              <w:rPr>
                <w:rFonts w:eastAsia="Times New Roman" w:cs="Times New Roman"/>
                <w:sz w:val="21"/>
                <w:lang w:val="ru-RU"/>
              </w:rPr>
              <w:t>период предоставлен доступ</w:t>
            </w:r>
          </w:p>
        </w:tc>
        <w:tc>
          <w:tcPr>
            <w:tcW w:w="3005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Признать нематериальный актив только из-за срока договора</w:t>
            </w:r>
          </w:p>
        </w:tc>
      </w:tr>
      <w:tr w:rsidR="006A68E0">
        <w:trPr>
          <w:cantSplit/>
          <w:jc w:val="center"/>
        </w:trPr>
        <w:tc>
          <w:tcPr>
            <w:tcW w:w="3402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Выполнен ремонт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Поддержано состояние или создано предусмотренное улучшение</w:t>
            </w:r>
          </w:p>
        </w:tc>
        <w:tc>
          <w:tcPr>
            <w:tcW w:w="3005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Классифицировать только по величине платежа</w:t>
            </w:r>
          </w:p>
        </w:tc>
      </w:tr>
      <w:tr w:rsidR="006A68E0">
        <w:trPr>
          <w:cantSplit/>
          <w:jc w:val="center"/>
        </w:trPr>
        <w:tc>
          <w:tcPr>
            <w:tcW w:w="3402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Куплены материалы на склад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Какая часть </w:t>
            </w:r>
            <w:r>
              <w:rPr>
                <w:rFonts w:eastAsia="Times New Roman" w:cs="Times New Roman"/>
                <w:sz w:val="21"/>
                <w:lang w:val="ru-RU"/>
              </w:rPr>
              <w:t>использована в деятельности</w:t>
            </w:r>
          </w:p>
        </w:tc>
        <w:tc>
          <w:tcPr>
            <w:tcW w:w="3005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Списать весь приход при оплате</w:t>
            </w:r>
          </w:p>
        </w:tc>
      </w:tr>
      <w:tr w:rsidR="006A68E0">
        <w:trPr>
          <w:cantSplit/>
          <w:jc w:val="center"/>
        </w:trPr>
        <w:tc>
          <w:tcPr>
            <w:tcW w:w="3402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Начислена зарплата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 какому периоду относится труд</w:t>
            </w:r>
          </w:p>
        </w:tc>
        <w:tc>
          <w:tcPr>
            <w:tcW w:w="3005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Перенести расход на месяц перечисления</w:t>
            </w:r>
          </w:p>
        </w:tc>
      </w:tr>
    </w:tbl>
    <w:p w:rsidR="006A68E0" w:rsidRDefault="006A68E0">
      <w:pPr>
        <w:spacing w:line="20" w:lineRule="exact"/>
        <w:ind w:firstLine="0"/>
      </w:pP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lastRenderedPageBreak/>
        <w:t>Для управленческого анализа дополнительно различают прямые и косвенные, постоянные и переменные затраты.</w:t>
      </w:r>
      <w:r>
        <w:rPr>
          <w:rFonts w:eastAsia="Times New Roman" w:cs="Times New Roman"/>
          <w:lang w:val="ru-RU"/>
        </w:rPr>
        <w:t xml:space="preserve"> Прямые можно отнести к определенной услуге на обоснованной основе. Косвенные обслуживают несколько направлений и требуют разумного распределения. Постоянные остаются относительно стабильными в определенном диапазоне деятельности; переменные связаны с ее о</w:t>
      </w:r>
      <w:r>
        <w:rPr>
          <w:rFonts w:eastAsia="Times New Roman" w:cs="Times New Roman"/>
          <w:lang w:val="ru-RU"/>
        </w:rPr>
        <w:t>бъемом. Эти аналитические категории не отменяют бюджетную классификацию.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Расчет стоимости услуги может объединять использованные материалы, труд и обоснованную долю общих затрат. Важно избегать двойного счета: например, не включать полную покупку оборудова</w:t>
      </w:r>
      <w:r>
        <w:rPr>
          <w:rFonts w:eastAsia="Times New Roman" w:cs="Times New Roman"/>
          <w:lang w:val="ru-RU"/>
        </w:rPr>
        <w:t>ния в стоимость услуги и одновременно начисленную на то же оборудование амортизацию. Определение используемого показателя должно быть написано рядом с расчетом.</w:t>
      </w:r>
    </w:p>
    <w:p>
      <w:pPr>
        <w:pStyle w:val="21"/>
        <w:keepNext/>
      </w:pPr>
      <w:r>
        <w:rPr>
          <w:rFonts w:ascii="Times New Roman" w:hAnsi="Times New Roman"/>
          <w:b/>
          <w:sz w:val="24"/>
        </w:rPr>
        <w:t>Потребление запасов и стоимость услуги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12 различает запасы, предназначенные для продажи, и запасы для бесплатного распределения или распределения по номинальной плате. Для первой группы применяется наименьшая из себестоимости и чистой стоимости реализации, для второй — наименьшая из себестоимости и текущей стоимости замещения. Переданные в потребление запасы признаются расходом в соответствующем периоде. В национальном учете способы оценки и списания устанавливают Правила № 223 и Учетная политика № 191. [Н3, Н5; М12]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Если учреждение закупило 200 наборов для бесплатной выдачи по 5 тыс. тенге и выдало 150, расход от выдачи составляет 750 тыс. тенге, остаток — 250 до проверки оценки. Если текущая стоимость замещения оставшихся наборов на отчетную дату уменьшилась до 4,5 тыс. тенге за набор, их оценка по МСФО ОС 12 составит 225, а дополнительный расход от снижения стоимости — 25. Денежная оплата закупки при этом не меняется.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Для расчета полной себестоимости услуги к прямым расходам добавляют обоснованно распределенные косвенные расходы и потребленную часть долгосрочных активов. При 100 услугах прямые материалы 300, труд с начислениями 500, общие расходы 150 и амортизация 50 тыс. тенге дают себестоимость 1 000, или 10 тыс. тенге на услугу. Базой распределения могут служить трудозатраты, площадь или фактическое использование оборудования; выбранная база должна отражать потребление ресурса.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3 Предварительный текущий и последующий контроль</w:t>
      </w:r>
    </w:p>
    <w:p w:rsidR="006A68E0" w:rsidRDefault="00EA2B9C">
      <w:pPr>
        <w:jc w:val="both"/>
      </w:pPr>
      <w:r>
        <w:rPr>
          <w:rFonts w:eastAsia="Times New Roman" w:cs="Times New Roman"/>
          <w:b/>
          <w:lang w:val="ru-RU"/>
        </w:rPr>
        <w:t>Предварительный контроль</w:t>
      </w:r>
      <w:r>
        <w:rPr>
          <w:rFonts w:eastAsia="Times New Roman" w:cs="Times New Roman"/>
          <w:lang w:val="ru-RU"/>
        </w:rPr>
        <w:t xml:space="preserve"> проводится до приняти</w:t>
      </w:r>
      <w:r>
        <w:rPr>
          <w:rFonts w:eastAsia="Times New Roman" w:cs="Times New Roman"/>
          <w:lang w:val="ru-RU"/>
        </w:rPr>
        <w:t>я обязательства или платежа. Он проверяет необходимость, полномочия, назначение, наличие обеспечения и условия договора. На этой стадии дешевле предотвратить ошибку, чем позднее восстанавливать учет и возвращать деньги.</w:t>
      </w:r>
    </w:p>
    <w:p w:rsidR="006A68E0" w:rsidRDefault="00EA2B9C">
      <w:pPr>
        <w:jc w:val="both"/>
      </w:pPr>
      <w:r>
        <w:rPr>
          <w:rFonts w:eastAsia="Times New Roman" w:cs="Times New Roman"/>
          <w:b/>
          <w:lang w:val="ru-RU"/>
        </w:rPr>
        <w:t>Текущий контроль</w:t>
      </w:r>
      <w:r>
        <w:rPr>
          <w:rFonts w:eastAsia="Times New Roman" w:cs="Times New Roman"/>
          <w:lang w:val="ru-RU"/>
        </w:rPr>
        <w:t xml:space="preserve"> сопровождает исполн</w:t>
      </w:r>
      <w:r>
        <w:rPr>
          <w:rFonts w:eastAsia="Times New Roman" w:cs="Times New Roman"/>
          <w:lang w:val="ru-RU"/>
        </w:rPr>
        <w:t xml:space="preserve">ение: подтверждает количество, качество, сроки и документы приемки, сопоставляет платеж с договором. </w:t>
      </w:r>
      <w:r>
        <w:rPr>
          <w:rFonts w:eastAsia="Times New Roman" w:cs="Times New Roman"/>
          <w:b/>
          <w:lang w:val="ru-RU"/>
        </w:rPr>
        <w:t>Последующий контроль</w:t>
      </w:r>
      <w:r>
        <w:rPr>
          <w:rFonts w:eastAsia="Times New Roman" w:cs="Times New Roman"/>
          <w:lang w:val="ru-RU"/>
        </w:rPr>
        <w:t xml:space="preserve"> оценивает уже отраженные операции, результаты и причины отклонений. Для надежной системы нужны все три уровня, поскольку каждый обнару</w:t>
      </w:r>
      <w:r>
        <w:rPr>
          <w:rFonts w:eastAsia="Times New Roman" w:cs="Times New Roman"/>
          <w:lang w:val="ru-RU"/>
        </w:rPr>
        <w:t>живает свой тип риска.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Контроль должен иметь доказательство выполнения. Фраза «бухгалтер проверил» малоинформативна без указания проверенных параметров и результата. Подтверждением могут служить согласованный расчет, отметка о сопоставлении документов, про</w:t>
      </w:r>
      <w:r>
        <w:rPr>
          <w:rFonts w:eastAsia="Times New Roman" w:cs="Times New Roman"/>
          <w:lang w:val="ru-RU"/>
        </w:rPr>
        <w:t>токол приемки или журнал выявленных расхождений. Система должна позволять восстановить, кто принял решение и на каком основании.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4 Разобранный анализ отклонения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Для учебного примера учреждение планировало использовать за период 1 000 единиц материалов по 2</w:t>
      </w:r>
      <w:r>
        <w:rPr>
          <w:rFonts w:eastAsia="Times New Roman" w:cs="Times New Roman"/>
          <w:lang w:val="ru-RU"/>
        </w:rPr>
        <w:t xml:space="preserve"> тыс. тенге. Фактически использовано 1 100 единиц по 2,2 тыс. тенге. Изменения качества и состава материалов нет; метод расчета сопоставим. Плановый расход 2 000, фактический — 2 420, неблагоприятное отклонение — 420 тыс. тенге.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4706"/>
        <w:gridCol w:w="3061"/>
        <w:gridCol w:w="1701"/>
      </w:tblGrid>
      <w:tr w:rsidR="006A68E0">
        <w:trPr>
          <w:cantSplit/>
          <w:tblHeader/>
          <w:jc w:val="center"/>
        </w:trPr>
        <w:tc>
          <w:tcPr>
            <w:tcW w:w="4706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Фактор</w:t>
            </w:r>
          </w:p>
        </w:tc>
        <w:tc>
          <w:tcPr>
            <w:tcW w:w="3061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Расчет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Влияние тыс т</w:t>
            </w:r>
            <w:r>
              <w:rPr>
                <w:rFonts w:eastAsia="Times New Roman" w:cs="Times New Roman"/>
                <w:b/>
                <w:sz w:val="21"/>
                <w:lang w:val="ru-RU"/>
              </w:rPr>
              <w:t>енге</w:t>
            </w:r>
          </w:p>
        </w:tc>
      </w:tr>
      <w:tr w:rsidR="006A68E0">
        <w:trPr>
          <w:cantSplit/>
          <w:jc w:val="center"/>
        </w:trPr>
        <w:tc>
          <w:tcPr>
            <w:tcW w:w="4706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Изменение количества при плановой цене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(1 100 − 1 000) × 2</w:t>
            </w:r>
          </w:p>
        </w:tc>
        <w:tc>
          <w:tcPr>
            <w:tcW w:w="170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+200</w:t>
            </w:r>
          </w:p>
        </w:tc>
      </w:tr>
      <w:tr w:rsidR="006A68E0">
        <w:trPr>
          <w:cantSplit/>
          <w:jc w:val="center"/>
        </w:trPr>
        <w:tc>
          <w:tcPr>
            <w:tcW w:w="4706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Изменение цены при фактическом количестве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1 100 × (2,2 − 2)</w:t>
            </w:r>
          </w:p>
        </w:tc>
        <w:tc>
          <w:tcPr>
            <w:tcW w:w="1701" w:type="dxa"/>
            <w:vAlign w:val="center"/>
          </w:tcPr>
          <w:p w:rsidR="006A68E0" w:rsidRDefault="00EA2B9C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+220</w:t>
            </w:r>
          </w:p>
        </w:tc>
      </w:tr>
      <w:tr w:rsidR="006A68E0">
        <w:trPr>
          <w:cantSplit/>
          <w:jc w:val="center"/>
        </w:trPr>
        <w:tc>
          <w:tcPr>
            <w:tcW w:w="4706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Общее отклонение</w:t>
            </w:r>
          </w:p>
        </w:tc>
        <w:tc>
          <w:tcPr>
            <w:tcW w:w="3061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2 420 − 2 000</w:t>
            </w:r>
          </w:p>
        </w:tc>
        <w:tc>
          <w:tcPr>
            <w:tcW w:w="1701" w:type="dxa"/>
            <w:vAlign w:val="center"/>
          </w:tcPr>
          <w:p w:rsidR="006A68E0" w:rsidRDefault="00EA2B9C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+420</w:t>
            </w:r>
          </w:p>
        </w:tc>
      </w:tr>
    </w:tbl>
    <w:p w:rsidR="006A68E0" w:rsidRDefault="006A68E0">
      <w:pPr>
        <w:spacing w:line="20" w:lineRule="exact"/>
        <w:ind w:firstLine="0"/>
      </w:pP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 xml:space="preserve">Это расчет последовательной замены: сначала изменяется количество, затем цена. </w:t>
      </w:r>
      <w:r>
        <w:rPr>
          <w:rFonts w:eastAsia="Times New Roman" w:cs="Times New Roman"/>
          <w:lang w:val="ru-RU"/>
        </w:rPr>
        <w:t>При другой последовательности распределение совместного влияния между факторами может отличаться, но общая сумма 420 сохраняется. Для сопоставимости внутри курса применяется один выбранный порядок.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Выявленные 200 нельзя сразу назвать неэффективностью. Допо</w:t>
      </w:r>
      <w:r>
        <w:rPr>
          <w:rFonts w:eastAsia="Times New Roman" w:cs="Times New Roman"/>
          <w:lang w:val="ru-RU"/>
        </w:rPr>
        <w:t>лнительное количество могло быть связано с увеличением числа получателей услуги, порчей материалов, изменением норм расхода или несвоевременной выдачей со склада. Для вывода нужны данные о результате, нормах и документах. Аналогично рост цены требует сравн</w:t>
      </w:r>
      <w:r>
        <w:rPr>
          <w:rFonts w:eastAsia="Times New Roman" w:cs="Times New Roman"/>
          <w:lang w:val="ru-RU"/>
        </w:rPr>
        <w:t>ения сопоставимых товаров, периода и условий поставки.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5 Прогноз до конца года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 xml:space="preserve">Годовая потребность по тому же учебному примеру составляет 3 000 единиц при плановой цене 2 тыс. тенге, то есть 6 000 тыс. тенге. После фактического использования 1 100 единиц </w:t>
      </w:r>
      <w:r>
        <w:rPr>
          <w:rFonts w:eastAsia="Times New Roman" w:cs="Times New Roman"/>
          <w:lang w:val="ru-RU"/>
        </w:rPr>
        <w:t>за 2 420 остаются 1 900 единиц. Если цена 2,2 сохранится, на них потребуется 4 180. Ожидаемые годовые затраты составят 6 600.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Остаток утвержденного годового объема после факта равен 3 580, а расчетная потребность — 4 180. Прогнозный недостаток 600 объясняе</w:t>
      </w:r>
      <w:r>
        <w:rPr>
          <w:rFonts w:eastAsia="Times New Roman" w:cs="Times New Roman"/>
          <w:lang w:val="ru-RU"/>
        </w:rPr>
        <w:t>тся ростом цены при неизменном годовом количестве. Дополнительные 100 единиц в текущем периоде в этом условии являются опережением графика, поскольку годовая потребность остается 3 000.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Варианты действий могут включать уточнение обоснованной потребности, п</w:t>
      </w:r>
      <w:r>
        <w:rPr>
          <w:rFonts w:eastAsia="Times New Roman" w:cs="Times New Roman"/>
          <w:lang w:val="ru-RU"/>
        </w:rPr>
        <w:t>роверку цены и условий поставки, устранение потерь, пересмотр графика и предусмотренное согласование изменений. Сам расчет недостатка не дает права превысить установленные ограничения. Финансовое решение принимается в рамках полномочий и установленного пор</w:t>
      </w:r>
      <w:r>
        <w:rPr>
          <w:rFonts w:eastAsia="Times New Roman" w:cs="Times New Roman"/>
          <w:lang w:val="ru-RU"/>
        </w:rPr>
        <w:t>ядка.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При сравнении плана и факта применяют сопоставимую базу. Если плановое потребление составляло 2 единицы материала на одну услугу, при фактических 550 услугах гибкий нормативный объем равен 1 100 единицам. Использование 1 100 единиц в этом случае не означает перерасход количества: рост общего потребления объясняется объемом услуг. Отклонение нормы рассчитывают как разность фактического потребления и нормативного потребления для фактического объема. [М24]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6 Экономия и результативность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Экономия означает уменьшение ресурса при сохранении необходимого результата и качества. Недовыполнение услуги тоже может снизить расходы, но не является автоматически положительным результатом. Поэтому бюджетный анализ с</w:t>
      </w:r>
      <w:r>
        <w:rPr>
          <w:rFonts w:eastAsia="Times New Roman" w:cs="Times New Roman"/>
          <w:lang w:val="ru-RU"/>
        </w:rPr>
        <w:t>вязывает затраты с количеством, доступностью и качеством услуги.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 xml:space="preserve">Условный план — 12 000 тыс. тенге текущих расходов на 1 000 услуг, факт — 11 000 на 900 услуг. Расходы исполнены на 91,67 процента, объем — на 90 процентов. Плановая стоимость услуги 12 тыс. </w:t>
      </w:r>
      <w:r>
        <w:rPr>
          <w:rFonts w:eastAsia="Times New Roman" w:cs="Times New Roman"/>
          <w:lang w:val="ru-RU"/>
        </w:rPr>
        <w:t>тенге, фактическая — 12,22. Общие расходы ниже плана, но стоимость единицы выросла примерно на 1,85 процента. Вывод о повышении эффективности только по экономии 1 000 был бы преждевременным.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Качество также должно быть сопоставимым. Если снижение затрат дос</w:t>
      </w:r>
      <w:r>
        <w:rPr>
          <w:rFonts w:eastAsia="Times New Roman" w:cs="Times New Roman"/>
          <w:lang w:val="ru-RU"/>
        </w:rPr>
        <w:t>тигнуто сокращением обязательных процедур или использованием материалов с худшими характеристиками, положительный финансовый показатель может сопровождаться ухудшением общественного результата. Проверка эффективности требует фактов о сервисе, а не только б</w:t>
      </w:r>
      <w:r>
        <w:rPr>
          <w:rFonts w:eastAsia="Times New Roman" w:cs="Times New Roman"/>
          <w:lang w:val="ru-RU"/>
        </w:rPr>
        <w:t>ухгалтерских сумм.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Частые ошибки</w:t>
      </w:r>
    </w:p>
    <w:p w:rsidR="006A68E0" w:rsidRDefault="00EA2B9C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Использовать слова «расход» и «оплата» как полные синонимы.</w:t>
      </w:r>
    </w:p>
    <w:p w:rsidR="006A68E0" w:rsidRDefault="00EA2B9C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Относить ремонт к капитальным затратам только из-за крупной суммы.</w:t>
      </w:r>
    </w:p>
    <w:p w:rsidR="006A68E0" w:rsidRDefault="00EA2B9C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Объяснять любое положительное отклонение цены внешним рынком без проверки.</w:t>
      </w:r>
    </w:p>
    <w:p w:rsidR="006A68E0" w:rsidRDefault="00EA2B9C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Называть недовыполнен</w:t>
      </w:r>
      <w:r>
        <w:rPr>
          <w:rFonts w:eastAsia="Times New Roman" w:cs="Times New Roman"/>
          <w:lang w:val="ru-RU"/>
        </w:rPr>
        <w:t>ие мероприятия экономией.</w:t>
      </w:r>
    </w:p>
    <w:p w:rsidR="006A68E0" w:rsidRDefault="00EA2B9C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Вопросы для обсуждения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1. Какие четыре показателя возникают в примере с покупкой и использованием материалов?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2. Какую ошибку предотвращает предварительный контроль?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3. Почему факторное разложение не доказывает причину перерасхода</w:t>
      </w:r>
      <w:r>
        <w:rPr>
          <w:rFonts w:eastAsia="Times New Roman" w:cs="Times New Roman"/>
          <w:lang w:val="ru-RU"/>
        </w:rPr>
        <w:t>?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4. Чем опережение графика отличается от увеличения годовой потребности?</w:t>
      </w:r>
    </w:p>
    <w:p w:rsidR="006A68E0" w:rsidRDefault="00EA2B9C">
      <w:pPr>
        <w:jc w:val="both"/>
      </w:pPr>
      <w:r>
        <w:rPr>
          <w:rFonts w:eastAsia="Times New Roman" w:cs="Times New Roman"/>
          <w:lang w:val="ru-RU"/>
        </w:rPr>
        <w:t>5. Какие показатели качества нужно добавить к стоимости услуги?</w:t>
      </w:r>
    </w:p>
    <w:p>
      <w:pPr>
        <w:pStyle w:val="1"/>
        <w:keepNext/>
      </w:pPr>
      <w:r>
        <w:rPr>
          <w:rFonts w:ascii="Times New Roman" w:hAnsi="Times New Roman"/>
          <w:b/>
          <w:sz w:val="24"/>
        </w:rPr>
        <w:t>Самопроверка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На 400 услуг планировалось 800 единиц материалов по 3 тыс. тенге. Выполнено 450 услуг и использовано 950 единиц по прежней цене. Определите отклонение от первоначального плана и перерасход относительно фактического объема.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Ответ. Первоначальный расход — 2 400; фактический — 2 850, отклонение +450 тыс. тенге. Для 450 услуг норматив равен 900 единицам, или 2 700. Перерасход нормы — 50 единиц, или 150; остальные 300 объясняются увеличением объема услуг.</w:t>
      </w:r>
    </w:p>
    <w:p w:rsidR="006A68E0" w:rsidRDefault="00EA2B9C">
      <w:pPr>
        <w:pStyle w:val="1"/>
        <w:keepNext/>
      </w:pPr>
      <w:bookmarkStart w:id="0" w:name="_GoBack"/>
      <w:bookmarkEnd w:id="0"/>
      <w:r>
        <w:rPr>
          <w:rFonts w:ascii="Times New Roman" w:eastAsia="Times New Roman" w:hAnsi="Times New Roman" w:cs="Times New Roman"/>
          <w:lang w:val="ru-RU"/>
        </w:rPr>
        <w:t>Литература и нормативные источники</w:t>
      </w:r>
    </w:p>
    <w:p>
      <w:pPr>
        <w:spacing w:after="40"/>
      </w:pPr>
      <w:r>
        <w:t>НПА приведены в редакциях, действующих на 27 октября 2026 года. МСФО ОС — по материалам IPSASB; даты начала применения отдельных стандартов указаны в тексте.</w:t>
      </w:r>
    </w:p>
    <w:p>
      <w:pPr>
        <w:spacing w:after="40"/>
      </w:pPr>
      <w:r>
        <w:t xml:space="preserve">[Н1] </w:t>
      </w:r>
      <w:hyperlink r:id="rId8">
        <w:r>
          <w:rPr>
            <w:rFonts w:ascii="Times New Roman" w:hAnsi="Times New Roman"/>
            <w:sz w:val="24"/>
          </w:rPr>
          <w:t>Бюджетный кодекс Республики Казахстан от 15 марта 2025 года № 171-VIII, статьи 130–132.</w:t>
        </w:r>
      </w:hyperlink>
    </w:p>
    <w:p>
      <w:pPr>
        <w:spacing w:after="40"/>
      </w:pPr>
      <w:r>
        <w:t xml:space="preserve">[Н3] </w:t>
      </w:r>
      <w:hyperlink r:id="rId9">
        <w:r>
          <w:rPr>
            <w:rFonts w:ascii="Times New Roman" w:hAnsi="Times New Roman"/>
            <w:sz w:val="24"/>
          </w:rPr>
          <w:t>Приказ Министра финансов РК от 12 мая 2025 года № 223 «Об утверждении Правил ведения бухгалтерского учета в государственных учреждениях».</w:t>
        </w:r>
      </w:hyperlink>
    </w:p>
    <w:p>
      <w:pPr>
        <w:spacing w:after="40"/>
      </w:pPr>
      <w:r>
        <w:t xml:space="preserve">[Н5] </w:t>
      </w:r>
      <w:hyperlink r:id="rId15">
        <w:r>
          <w:rPr>
            <w:rFonts w:ascii="Times New Roman" w:hAnsi="Times New Roman"/>
            <w:sz w:val="24"/>
          </w:rPr>
          <w:t>Приказ Министра финансов РК от 24 апреля 2025 года № 191 «Об утверждении Учетной политики».</w:t>
        </w:r>
      </w:hyperlink>
    </w:p>
    <w:p>
      <w:pPr>
        <w:spacing w:after="40"/>
      </w:pPr>
      <w:r>
        <w:t xml:space="preserve">[Н6] </w:t>
      </w:r>
      <w:hyperlink r:id="rId10">
        <w:r>
          <w:rPr>
            <w:rFonts w:ascii="Times New Roman" w:hAnsi="Times New Roman"/>
            <w:sz w:val="24"/>
          </w:rPr>
          <w:t>Приказ Министра финансов РК от 27 июня 2025 года № 328 «Об утверждении процедур казначейского исполнения бюджета и его кассового обслуживания, казначейского учета и мониторинга».</w:t>
        </w:r>
      </w:hyperlink>
    </w:p>
    <w:p>
      <w:pPr>
        <w:spacing w:after="40"/>
      </w:pPr>
      <w:r>
        <w:t xml:space="preserve">[Н12] </w:t>
      </w:r>
      <w:hyperlink r:id="rId11">
        <w:r>
          <w:rPr>
            <w:rFonts w:ascii="Times New Roman" w:hAnsi="Times New Roman"/>
            <w:sz w:val="24"/>
          </w:rPr>
          <w:t>Закон РК от 12 ноября 2015 года № 392-V «О государственном аудите и финансовом контроле».</w:t>
        </w:r>
      </w:hyperlink>
    </w:p>
    <w:p>
      <w:pPr>
        <w:spacing w:after="40"/>
      </w:pPr>
      <w:r>
        <w:t xml:space="preserve">[М0] </w:t>
      </w:r>
      <w:hyperlink r:id="rId16">
        <w:r>
          <w:rPr>
            <w:rFonts w:ascii="Times New Roman" w:hAnsi="Times New Roman"/>
            <w:sz w:val="24"/>
          </w:rPr>
          <w:t>IPSASB. Концептуальные основы финансовой отчетности общего назначения организаций общественного сектора. Сборник IPSASB 2026 года.</w:t>
        </w:r>
      </w:hyperlink>
    </w:p>
    <w:p>
      <w:pPr>
        <w:spacing w:after="40"/>
      </w:pPr>
      <w:r>
        <w:t xml:space="preserve">[М1] </w:t>
      </w:r>
      <w:hyperlink r:id="rId16">
        <w:r>
          <w:rPr>
            <w:rFonts w:ascii="Times New Roman" w:hAnsi="Times New Roman"/>
            <w:sz w:val="24"/>
          </w:rPr>
          <w:t>МСФО ОС (IPSAS) 1 «Представление финансовой отчетности». IPSASB, редакция сборника 2026 года.</w:t>
        </w:r>
      </w:hyperlink>
    </w:p>
    <w:p>
      <w:pPr>
        <w:spacing w:after="40"/>
      </w:pPr>
      <w:r>
        <w:t xml:space="preserve">[М12] </w:t>
      </w:r>
      <w:hyperlink r:id="rId16">
        <w:r>
          <w:rPr>
            <w:rFonts w:ascii="Times New Roman" w:hAnsi="Times New Roman"/>
            <w:sz w:val="24"/>
          </w:rPr>
          <w:t>МСФО ОС (IPSAS) 12 «Запасы». IPSASB, редакция сборника 2026 года.</w:t>
        </w:r>
      </w:hyperlink>
    </w:p>
    <w:p>
      <w:pPr>
        <w:spacing w:after="40"/>
      </w:pPr>
      <w:r>
        <w:t xml:space="preserve">[М24] </w:t>
      </w:r>
      <w:hyperlink r:id="rId16">
        <w:r>
          <w:rPr>
            <w:rFonts w:ascii="Times New Roman" w:hAnsi="Times New Roman"/>
            <w:sz w:val="24"/>
          </w:rPr>
          <w:t>МСФО ОС (IPSAS) 24 «Представление бюджетной информации в финансовой отчетности». IPSASB, редакция сборника 2026 года.</w:t>
        </w:r>
      </w:hyperlink>
    </w:p>
    <w:p>
      <w:pPr>
        <w:spacing w:after="40"/>
      </w:pPr>
      <w:r>
        <w:t>Учебная литература: [Л1] и [Л5] в программе курса.</w:t>
      </w:r>
    </w:p>
    <w:sectPr w:rsidR="006A68E0" w:rsidSect="00034616">
      <w:footerReference w:type="default" r:id="rId12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B9C" w:rsidRDefault="00EA2B9C">
      <w:pPr>
        <w:spacing w:after="0" w:line="240" w:lineRule="auto"/>
      </w:pPr>
      <w:r>
        <w:separator/>
      </w:r>
    </w:p>
  </w:endnote>
  <w:endnote w:type="continuationSeparator" w:id="0">
    <w:p w:rsidR="00EA2B9C" w:rsidRDefault="00EA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E0" w:rsidRDefault="00EA2B9C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B9C" w:rsidRDefault="00EA2B9C">
      <w:pPr>
        <w:spacing w:after="0" w:line="240" w:lineRule="auto"/>
      </w:pPr>
      <w:r>
        <w:separator/>
      </w:r>
    </w:p>
  </w:footnote>
  <w:footnote w:type="continuationSeparator" w:id="0">
    <w:p w:rsidR="00EA2B9C" w:rsidRDefault="00EA2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68E0"/>
    <w:rsid w:val="007033F9"/>
    <w:rsid w:val="00AA1D8D"/>
    <w:rsid w:val="00B47730"/>
    <w:rsid w:val="00CB0664"/>
    <w:rsid w:val="00EA2B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610D563-EB31-4DBA-8A69-6C6665F1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ilet.zan.kz/rus/docs/K250000017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Z15000003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rus/docs/G25E00003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223" TargetMode="External"/><Relationship Id="rId14" Type="http://schemas.openxmlformats.org/officeDocument/2006/relationships/theme" Target="theme/theme1.xml"/><Relationship Id="rId15" Type="http://schemas.openxmlformats.org/officeDocument/2006/relationships/hyperlink" Target="https://adilet.zan.kz/rus/docs/G25E0000191" TargetMode="External"/><Relationship Id="rId16" Type="http://schemas.openxmlformats.org/officeDocument/2006/relationships/hyperlink" Target="https://www.ipsasb.org/publications/2026-handbook-international-public-sector-accounting-standards-board-pro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089DF4-1A80-4AEA-953C-FF68286F8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расходами в бюджетных учреждениях</dc:title>
  <dc:subject>Бухгалтерский учет в бюджетных организациях</dc:subject>
  <dc:creator/>
  <cp:keywords>Казахстан; государственные учреждения; учет; лекции; 2026</cp:keywords>
  <dc:description>generated by python-docx</dc:description>
  <cp:lastModifiedBy>Гульжан Байтикенова</cp:lastModifiedBy>
  <cp:revision>2</cp:revision>
  <dcterms:created xsi:type="dcterms:W3CDTF">2013-12-23T23:15:00Z</dcterms:created>
  <dcterms:modified xsi:type="dcterms:W3CDTF">2026-10-21T10:24:00Z</dcterms:modified>
  <cp:category/>
</cp:coreProperties>
</file>