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34E" w:rsidRDefault="00674377">
      <w:pPr>
        <w:keepNext/>
        <w:jc w:val="both"/>
      </w:pPr>
      <w:r>
        <w:rPr>
          <w:rFonts w:eastAsia="Times New Roman" w:cs="Times New Roman"/>
          <w:b/>
          <w:lang w:val="ru-RU"/>
        </w:rPr>
        <w:t>ЛЕКЦИЯ 3</w:t>
      </w:r>
    </w:p>
    <w:p w:rsidR="00FA534E" w:rsidRDefault="00674377">
      <w:pPr>
        <w:pStyle w:val="aa"/>
        <w:keepNext/>
        <w:spacing w:after="160"/>
      </w:pPr>
      <w:r>
        <w:rPr>
          <w:rFonts w:ascii="Times New Roman" w:eastAsia="Times New Roman" w:hAnsi="Times New Roman" w:cs="Times New Roman"/>
          <w:lang w:val="ru-RU"/>
        </w:rPr>
        <w:t>Финансовое обеспечение деятельности бюджетных организаций</w:t>
      </w:r>
    </w:p>
    <w:p w:rsidR="00D74662" w:rsidRDefault="00D74662">
      <w:pPr>
        <w:jc w:val="both"/>
        <w:rPr>
          <w:rFonts w:eastAsia="Times New Roman" w:cs="Times New Roman"/>
          <w:b/>
          <w:lang w:val="ru-RU"/>
        </w:rPr>
      </w:pP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Цель лекции. Определять учетное содержание источников финансирования и момент признания доходов по национальным правилам и МСФО ОС 47.</w:t>
      </w:r>
    </w:p>
    <w:p w:rsidR="00FA534E" w:rsidRDefault="00674377">
      <w:pPr>
        <w:jc w:val="both"/>
      </w:pPr>
      <w:r>
        <w:rPr>
          <w:rFonts w:eastAsia="Times New Roman" w:cs="Times New Roman"/>
          <w:b/>
          <w:lang w:val="ru-RU"/>
        </w:rPr>
        <w:t>План лекции.</w:t>
      </w:r>
      <w:r>
        <w:rPr>
          <w:rFonts w:eastAsia="Times New Roman" w:cs="Times New Roman"/>
          <w:lang w:val="ru-RU"/>
        </w:rPr>
        <w:t xml:space="preserve"> Источники финансирования; бюджетное обеспечение; обменные и необменные поступления; целевые гранты</w:t>
      </w:r>
      <w:r>
        <w:rPr>
          <w:rFonts w:eastAsia="Times New Roman" w:cs="Times New Roman"/>
          <w:lang w:val="ru-RU"/>
        </w:rPr>
        <w:t>; субвенции; контроль раздельного учета.</w:t>
      </w:r>
    </w:p>
    <w:p w:rsidR="00FA534E" w:rsidRDefault="00674377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1 Финансовое обеспечение и его источники</w:t>
      </w: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>Финансовое обеспечение — предоставление ресурсов для выполнения функций учреждения. При анализе поступления необходимо установить его источник, назначение, условия использова</w:t>
      </w:r>
      <w:r>
        <w:rPr>
          <w:rFonts w:eastAsia="Times New Roman" w:cs="Times New Roman"/>
          <w:lang w:val="ru-RU"/>
        </w:rPr>
        <w:t>ния и порядок отражения. Одинаковая сумма денег может иметь разное учетное содержание: финансирование деятельности, плата за разрешенную услугу, целевой грант или сумма, временно находящаяся в распоряжении учреждения.</w:t>
      </w: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>Основным направлением для государствен</w:t>
      </w:r>
      <w:r>
        <w:rPr>
          <w:rFonts w:eastAsia="Times New Roman" w:cs="Times New Roman"/>
          <w:lang w:val="ru-RU"/>
        </w:rPr>
        <w:t>ного учреждения является бюджетное обеспечение. Дополнительные поступления возможны в тех формах и пределах, которые разрешены законодательством и полномочиями конкретного учреждения. Наличие банковского реквизита или технической возможности принять платеж</w:t>
      </w:r>
      <w:r>
        <w:rPr>
          <w:rFonts w:eastAsia="Times New Roman" w:cs="Times New Roman"/>
          <w:lang w:val="ru-RU"/>
        </w:rPr>
        <w:t xml:space="preserve"> не дает самостоятельного права вести любую платную деятельность.</w:t>
      </w:r>
    </w:p>
    <w:p w:rsidR="00FA534E" w:rsidRDefault="00674377">
      <w:pPr>
        <w:jc w:val="both"/>
      </w:pPr>
      <w:r>
        <w:rPr>
          <w:rFonts w:eastAsia="Times New Roman" w:cs="Times New Roman"/>
          <w:b/>
          <w:lang w:val="ru-RU"/>
        </w:rPr>
        <w:t>Источник финансирования</w:t>
      </w:r>
      <w:r>
        <w:rPr>
          <w:rFonts w:eastAsia="Times New Roman" w:cs="Times New Roman"/>
          <w:lang w:val="ru-RU"/>
        </w:rPr>
        <w:t xml:space="preserve"> и </w:t>
      </w:r>
      <w:r>
        <w:rPr>
          <w:rFonts w:eastAsia="Times New Roman" w:cs="Times New Roman"/>
          <w:b/>
          <w:lang w:val="ru-RU"/>
        </w:rPr>
        <w:t>доход отчетного периода</w:t>
      </w:r>
      <w:r>
        <w:rPr>
          <w:rFonts w:eastAsia="Times New Roman" w:cs="Times New Roman"/>
          <w:lang w:val="ru-RU"/>
        </w:rPr>
        <w:t xml:space="preserve"> не являются тождественными понятиями. Первый показывает происхождение ресурса и режим его использования. Второй является категорией финансов</w:t>
      </w:r>
      <w:r>
        <w:rPr>
          <w:rFonts w:eastAsia="Times New Roman" w:cs="Times New Roman"/>
          <w:lang w:val="ru-RU"/>
        </w:rPr>
        <w:t>ого учета. Для признания дохода нужно определить содержание события, выполненные условия и применяемую учетную модель. Полученная сумма не становится доходом только потому, что отражена в выписке.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  <w:tblLook w:val="04A0" w:firstRow="1" w:lastRow="0" w:firstColumn="1" w:lastColumn="0" w:noHBand="0" w:noVBand="1"/>
      </w:tblPr>
      <w:tblGrid>
        <w:gridCol w:w="2835"/>
        <w:gridCol w:w="3345"/>
        <w:gridCol w:w="3288"/>
      </w:tblGrid>
      <w:tr w:rsidR="00FA534E">
        <w:trPr>
          <w:cantSplit/>
          <w:tblHeader/>
          <w:jc w:val="center"/>
        </w:trPr>
        <w:tc>
          <w:tcPr>
            <w:tcW w:w="2835" w:type="dxa"/>
            <w:shd w:val="clear" w:color="auto" w:fill="E8EFF5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Вид поступления</w:t>
            </w:r>
          </w:p>
        </w:tc>
        <w:tc>
          <w:tcPr>
            <w:tcW w:w="3345" w:type="dxa"/>
            <w:shd w:val="clear" w:color="auto" w:fill="E8EFF5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Основной вопрос для учета</w:t>
            </w:r>
          </w:p>
        </w:tc>
        <w:tc>
          <w:tcPr>
            <w:tcW w:w="3288" w:type="dxa"/>
            <w:shd w:val="clear" w:color="auto" w:fill="E8EFF5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Необходимая анали</w:t>
            </w:r>
            <w:r>
              <w:rPr>
                <w:rFonts w:eastAsia="Times New Roman" w:cs="Times New Roman"/>
                <w:b/>
                <w:sz w:val="21"/>
                <w:lang w:val="ru-RU"/>
              </w:rPr>
              <w:t>тика</w:t>
            </w:r>
          </w:p>
        </w:tc>
      </w:tr>
      <w:tr w:rsidR="00FA534E">
        <w:trPr>
          <w:cantSplit/>
          <w:jc w:val="center"/>
        </w:trPr>
        <w:tc>
          <w:tcPr>
            <w:tcW w:w="2835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Бюджетное обеспечение</w:t>
            </w:r>
          </w:p>
        </w:tc>
        <w:tc>
          <w:tcPr>
            <w:tcW w:w="3345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Какие назначения и операции предусмотрены программой</w:t>
            </w:r>
          </w:p>
        </w:tc>
        <w:tc>
          <w:tcPr>
            <w:tcW w:w="3288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Бюджет программа специфика и период</w:t>
            </w:r>
          </w:p>
        </w:tc>
      </w:tr>
      <w:tr w:rsidR="00FA534E">
        <w:trPr>
          <w:cantSplit/>
          <w:jc w:val="center"/>
        </w:trPr>
        <w:tc>
          <w:tcPr>
            <w:tcW w:w="2835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Разрешенные платные услуги</w:t>
            </w:r>
          </w:p>
        </w:tc>
        <w:tc>
          <w:tcPr>
            <w:tcW w:w="3345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Какая услуга оказана и возникло ли право на доход</w:t>
            </w:r>
          </w:p>
        </w:tc>
        <w:tc>
          <w:tcPr>
            <w:tcW w:w="3288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Услуга заказчик договор и задолженность</w:t>
            </w:r>
          </w:p>
        </w:tc>
      </w:tr>
      <w:tr w:rsidR="00FA534E">
        <w:trPr>
          <w:cantSplit/>
          <w:jc w:val="center"/>
        </w:trPr>
        <w:tc>
          <w:tcPr>
            <w:tcW w:w="2835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Целевой грант</w:t>
            </w:r>
          </w:p>
        </w:tc>
        <w:tc>
          <w:tcPr>
            <w:tcW w:w="3345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 xml:space="preserve">Какие </w:t>
            </w:r>
            <w:r>
              <w:rPr>
                <w:rFonts w:eastAsia="Times New Roman" w:cs="Times New Roman"/>
                <w:sz w:val="21"/>
                <w:lang w:val="ru-RU"/>
              </w:rPr>
              <w:t>условия нужно выполнить и когда возникает доход</w:t>
            </w:r>
          </w:p>
        </w:tc>
        <w:tc>
          <w:tcPr>
            <w:tcW w:w="3288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Донор проект допустимые затраты и остаток</w:t>
            </w:r>
          </w:p>
        </w:tc>
      </w:tr>
      <w:tr w:rsidR="00FA534E">
        <w:trPr>
          <w:cantSplit/>
          <w:jc w:val="center"/>
        </w:trPr>
        <w:tc>
          <w:tcPr>
            <w:tcW w:w="2835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Благотворительная помощь</w:t>
            </w:r>
          </w:p>
        </w:tc>
        <w:tc>
          <w:tcPr>
            <w:tcW w:w="3345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Есть ли ограничение использования или обязанность возврата</w:t>
            </w:r>
          </w:p>
        </w:tc>
        <w:tc>
          <w:tcPr>
            <w:tcW w:w="3288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Назначение имущество и подтверждение использования</w:t>
            </w:r>
          </w:p>
        </w:tc>
      </w:tr>
      <w:tr w:rsidR="00FA534E">
        <w:trPr>
          <w:cantSplit/>
          <w:jc w:val="center"/>
        </w:trPr>
        <w:tc>
          <w:tcPr>
            <w:tcW w:w="2835" w:type="dxa"/>
            <w:vAlign w:val="center"/>
          </w:tcPr>
          <w:p w:rsidR="00FA534E" w:rsidRDefault="00674377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Временные суммы</w:t>
            </w:r>
          </w:p>
        </w:tc>
        <w:tc>
          <w:tcPr>
            <w:tcW w:w="3345" w:type="dxa"/>
            <w:vAlign w:val="center"/>
          </w:tcPr>
          <w:p w:rsidR="00FA534E" w:rsidRDefault="00674377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 xml:space="preserve">Кому </w:t>
            </w:r>
            <w:r>
              <w:rPr>
                <w:rFonts w:eastAsia="Times New Roman" w:cs="Times New Roman"/>
                <w:sz w:val="21"/>
                <w:lang w:val="ru-RU"/>
              </w:rPr>
              <w:t>принадлежат деньги и когда их возвращать</w:t>
            </w:r>
          </w:p>
        </w:tc>
        <w:tc>
          <w:tcPr>
            <w:tcW w:w="3288" w:type="dxa"/>
            <w:vAlign w:val="center"/>
          </w:tcPr>
          <w:p w:rsidR="00FA534E" w:rsidRDefault="00674377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Владелец основания и сроки возврата</w:t>
            </w:r>
          </w:p>
        </w:tc>
      </w:tr>
    </w:tbl>
    <w:p w:rsidR="00FA534E" w:rsidRDefault="00FA534E">
      <w:pPr>
        <w:spacing w:line="20" w:lineRule="exact"/>
        <w:ind w:firstLine="0"/>
      </w:pP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>Раздельная аналитика предотвращает подмену одного источника другим. Если остаток по проекту существует, его нельзя автоматически направить на любой срочный платеж учреждения. Сн</w:t>
      </w:r>
      <w:r>
        <w:rPr>
          <w:rFonts w:eastAsia="Times New Roman" w:cs="Times New Roman"/>
          <w:lang w:val="ru-RU"/>
        </w:rPr>
        <w:t>ачала проверяют условия предоставления и разрешенный порядок изменения назначения. Удобство расчета не заменяет правового основания.</w:t>
      </w:r>
    </w:p>
    <w:p w:rsidR="00FA534E" w:rsidRDefault="00674377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2 Бюджетное обеспечение и связь с казначейством</w:t>
      </w: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>Финансирование учреждения связано с бюджетной программой, утвержденными пла</w:t>
      </w:r>
      <w:r>
        <w:rPr>
          <w:rFonts w:eastAsia="Times New Roman" w:cs="Times New Roman"/>
          <w:lang w:val="ru-RU"/>
        </w:rPr>
        <w:t>нами и казначейскими процедурами. Бухгалтер должен различать плановые назначения, зарегистрированные обязательства и фактическую оплату. Специальные счета учета бюджетного обеспечения нельзя трактовать как обычный банковский остаток коммерческой организаци</w:t>
      </w:r>
      <w:r>
        <w:rPr>
          <w:rFonts w:eastAsia="Times New Roman" w:cs="Times New Roman"/>
          <w:lang w:val="ru-RU"/>
        </w:rPr>
        <w:t>и. [Н1, Н4, Н6]</w:t>
      </w: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lastRenderedPageBreak/>
        <w:t>При планировании источников сначала определяют обязательные функции и допустимые расходы, затем связывают суммы с графиками исполнения. Если расходы по программе предполагаются в течение всего года, крупный платеж в начале периода требует о</w:t>
      </w:r>
      <w:r>
        <w:rPr>
          <w:rFonts w:eastAsia="Times New Roman" w:cs="Times New Roman"/>
          <w:lang w:val="ru-RU"/>
        </w:rPr>
        <w:t>бъяснения: аванс, сезонная закупка или приобретение актива. От характера операции зависит и запись, и контроль остатка.</w:t>
      </w: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 xml:space="preserve">Сверка источника включает три уровня. Первый — соответствие операции назначению программы. Второй — согласованность учетного регистра и </w:t>
      </w:r>
      <w:r>
        <w:rPr>
          <w:rFonts w:eastAsia="Times New Roman" w:cs="Times New Roman"/>
          <w:lang w:val="ru-RU"/>
        </w:rPr>
        <w:t>казначейской информации. Третий — соответствие полученного ресурса фактической потребности. Возможна ситуация, когда первые два уровня подтверждены, но приобретенное оборудование не используется. Тогда арифметическая правильность не означает результативнос</w:t>
      </w:r>
      <w:r>
        <w:rPr>
          <w:rFonts w:eastAsia="Times New Roman" w:cs="Times New Roman"/>
          <w:lang w:val="ru-RU"/>
        </w:rPr>
        <w:t>ть расходования.</w:t>
      </w:r>
    </w:p>
    <w:p w:rsidR="00FA534E" w:rsidRDefault="00674377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3 Обменные и необменные поступления</w:t>
      </w: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 xml:space="preserve">При </w:t>
      </w:r>
      <w:r>
        <w:rPr>
          <w:rFonts w:eastAsia="Times New Roman" w:cs="Times New Roman"/>
          <w:b/>
          <w:lang w:val="ru-RU"/>
        </w:rPr>
        <w:t>обменной операции</w:t>
      </w:r>
      <w:r>
        <w:rPr>
          <w:rFonts w:eastAsia="Times New Roman" w:cs="Times New Roman"/>
          <w:lang w:val="ru-RU"/>
        </w:rPr>
        <w:t xml:space="preserve"> учреждение получает ресурс в обмен на примерно равноценное предоставление. Учебный пример — оказанная разрешенная платная услуга. При </w:t>
      </w:r>
      <w:r>
        <w:rPr>
          <w:rFonts w:eastAsia="Times New Roman" w:cs="Times New Roman"/>
          <w:b/>
          <w:lang w:val="ru-RU"/>
        </w:rPr>
        <w:t>необменной операции</w:t>
      </w:r>
      <w:r>
        <w:rPr>
          <w:rFonts w:eastAsia="Times New Roman" w:cs="Times New Roman"/>
          <w:lang w:val="ru-RU"/>
        </w:rPr>
        <w:t xml:space="preserve"> непосредственного равноценн</w:t>
      </w:r>
      <w:r>
        <w:rPr>
          <w:rFonts w:eastAsia="Times New Roman" w:cs="Times New Roman"/>
          <w:lang w:val="ru-RU"/>
        </w:rPr>
        <w:t>ого встречного предоставления нет. Учет финансирования, отдельных видов помощи и трансфертов требует анализа соответствующих условий и установленной учетной политики. [Н3, Н5]</w:t>
      </w: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 xml:space="preserve">Различие не следует определять только по названию документа. Договор, названный </w:t>
      </w:r>
      <w:r>
        <w:rPr>
          <w:rFonts w:eastAsia="Times New Roman" w:cs="Times New Roman"/>
          <w:lang w:val="ru-RU"/>
        </w:rPr>
        <w:t>«грантом», может содержать конкретные обязанности получателя и условие возврата. Поступление от заказчика может быть предоплатой за еще не оказанную услугу. В каждом случае бухгалтер выясняет, что уже произошло и какие обязанности продолжают существовать н</w:t>
      </w:r>
      <w:r>
        <w:rPr>
          <w:rFonts w:eastAsia="Times New Roman" w:cs="Times New Roman"/>
          <w:lang w:val="ru-RU"/>
        </w:rPr>
        <w:t>а отчетную дату.</w:t>
      </w: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>Для обменной услуги важно подтвердить факт и объем исполнения. Если в декабре выполнено 60 процентов предусмотренного объема, а вся сумма поступила заранее, нельзя без дополнительного анализа относить весь платеж к декабрьскому доходу. Мет</w:t>
      </w:r>
      <w:r>
        <w:rPr>
          <w:rFonts w:eastAsia="Times New Roman" w:cs="Times New Roman"/>
          <w:lang w:val="ru-RU"/>
        </w:rPr>
        <w:t>од отражения определяется содержанием услуги и действующими правилами, а оставшаяся обязанность должна быть видна в учете.</w:t>
      </w: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>В национальном учете необменных поступлений различают ограничение использования ресурса и условие, предусматривающее обязанность его возврата при неисполнении. Ограничение определяет допустимое направление использования, но само по себе не всегда создает обязательство. Условие с обязанностью возврата требует оценки сохраняющейся обязанности получателя и момента ее погашения. [Н3, Н5]</w:t>
      </w:r>
    </w:p>
    <w:p>
      <w:pPr>
        <w:pStyle w:val="21"/>
        <w:keepNext/>
      </w:pPr>
      <w:r>
        <w:rPr>
          <w:rFonts w:ascii="Times New Roman" w:hAnsi="Times New Roman"/>
          <w:b/>
          <w:sz w:val="24"/>
        </w:rPr>
        <w:t>Модель доходов по МСФО ОС 47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МСФО ОС 47 объединяет учет доходов, ранее рассматривавшийся в стандартах 9, 11 и 23. С 1 января 2026 года выбор модели связан с наличием обязывающего соглашения — binding arrangement. Такое соглашение создает обеспеченные исполнением права и обязанности сторон; его содержание устанавливается по договору, законодательству и другим применимым механизмам принуждения. Классификация только по названию «грант» или «платная услуга» для этого недостаточна. [М47]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При наличии обязывающего соглашения получатель определяет обязанности по соблюдению условий соглашения — compliance obligations, сумму возмещения, ее распределение и момент исполнения соответствующих обязанностей. Доход признается по мере их исполнения. При отсутствии такого соглашения анализируют признанный актив и существующие обязанности; доход отражается в той части увеличения чистых активов, которая не связана с признанием обязательства. [М47]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Например, организация получает 600 тыс. тенге за обучение 100 участников по обязывающему соглашению. Стоимость обучения одного участника — 6 тыс. тенге; завершение обучения каждого участника является самостоятельной исполняемой обязанностью. На отчетную дату завершено обучение 50 участников: доход составляет 300, оставшаяся полученная сумма 300 относится к неисполненным обязанностям. Само расходование денег на аренду или аванс поставщику не подтверждает исполнение обязанности обучить участников.</w:t>
      </w:r>
    </w:p>
    <w:p w:rsidR="00FA534E" w:rsidRDefault="00674377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4 Разобранный пример условног</w:t>
      </w:r>
      <w:r>
        <w:rPr>
          <w:rFonts w:ascii="Times New Roman" w:eastAsia="Times New Roman" w:hAnsi="Times New Roman" w:cs="Times New Roman"/>
          <w:lang w:val="ru-RU"/>
        </w:rPr>
        <w:t>о гранта</w:t>
      </w: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>Учреждение получило целевой грант 600 тыс. тенге на программу обучения. Соглашение предусматривает возврат неиспользованных или использованных вне согласованного назначения средств; условие погашается по мере подтверждения допустимых затрат. По национальной модели учета такого поступления первоначально признается обязательство, а доход возникает по мере выполнения условия. [Н3, Н5]</w:t>
      </w: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>К концу периода услуги и материалы на 300 использованы по проекту, 10</w:t>
      </w:r>
      <w:r>
        <w:rPr>
          <w:rFonts w:eastAsia="Times New Roman" w:cs="Times New Roman"/>
          <w:lang w:val="ru-RU"/>
        </w:rPr>
        <w:t>0 перечислены поставщику авансом за еще не полученные материалы, 200 остаются денежными средствами. Все 300 использованных ресурсов подтверждены и соответствуют условиям; обязательств перед поставщиками по ним не осталось.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  <w:tblLook w:val="04A0" w:firstRow="1" w:lastRow="0" w:firstColumn="1" w:lastColumn="0" w:noHBand="0" w:noVBand="1"/>
      </w:tblPr>
      <w:tblGrid>
        <w:gridCol w:w="3855"/>
        <w:gridCol w:w="2494"/>
        <w:gridCol w:w="1701"/>
        <w:gridCol w:w="1417"/>
      </w:tblGrid>
      <w:tr w:rsidR="00FA534E">
        <w:trPr>
          <w:cantSplit/>
          <w:tblHeader/>
          <w:jc w:val="center"/>
        </w:trPr>
        <w:tc>
          <w:tcPr>
            <w:tcW w:w="3855" w:type="dxa"/>
            <w:shd w:val="clear" w:color="auto" w:fill="E8EFF5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Событие</w:t>
            </w:r>
          </w:p>
        </w:tc>
        <w:tc>
          <w:tcPr>
            <w:tcW w:w="2494" w:type="dxa"/>
            <w:shd w:val="clear" w:color="auto" w:fill="E8EFF5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Дебет по смыслу</w:t>
            </w:r>
          </w:p>
        </w:tc>
        <w:tc>
          <w:tcPr>
            <w:tcW w:w="1701" w:type="dxa"/>
            <w:shd w:val="clear" w:color="auto" w:fill="E8EFF5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Кредит по</w:t>
            </w:r>
            <w:r>
              <w:rPr>
                <w:rFonts w:eastAsia="Times New Roman" w:cs="Times New Roman"/>
                <w:b/>
                <w:sz w:val="21"/>
                <w:lang w:val="ru-RU"/>
              </w:rPr>
              <w:t xml:space="preserve"> смыслу</w:t>
            </w:r>
          </w:p>
        </w:tc>
        <w:tc>
          <w:tcPr>
            <w:tcW w:w="1417" w:type="dxa"/>
            <w:shd w:val="clear" w:color="auto" w:fill="E8EFF5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Сумма</w:t>
            </w:r>
          </w:p>
        </w:tc>
      </w:tr>
      <w:tr w:rsidR="00FA534E">
        <w:trPr>
          <w:cantSplit/>
          <w:jc w:val="center"/>
        </w:trPr>
        <w:tc>
          <w:tcPr>
            <w:tcW w:w="3855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Получен грант</w:t>
            </w:r>
          </w:p>
        </w:tc>
        <w:tc>
          <w:tcPr>
            <w:tcW w:w="2494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Деньги</w:t>
            </w:r>
          </w:p>
        </w:tc>
        <w:tc>
          <w:tcPr>
            <w:tcW w:w="1701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Обязательство</w:t>
            </w:r>
          </w:p>
        </w:tc>
        <w:tc>
          <w:tcPr>
            <w:tcW w:w="1417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600</w:t>
            </w:r>
          </w:p>
        </w:tc>
      </w:tr>
      <w:tr w:rsidR="00FA534E">
        <w:trPr>
          <w:cantSplit/>
          <w:jc w:val="center"/>
        </w:trPr>
        <w:tc>
          <w:tcPr>
            <w:tcW w:w="3855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Использованы допустимые ресурсы</w:t>
            </w:r>
          </w:p>
        </w:tc>
        <w:tc>
          <w:tcPr>
            <w:tcW w:w="2494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Расход проекта</w:t>
            </w:r>
          </w:p>
        </w:tc>
        <w:tc>
          <w:tcPr>
            <w:tcW w:w="1701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Деньги</w:t>
            </w:r>
          </w:p>
        </w:tc>
        <w:tc>
          <w:tcPr>
            <w:tcW w:w="1417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300</w:t>
            </w:r>
          </w:p>
        </w:tc>
      </w:tr>
      <w:tr w:rsidR="00FA534E">
        <w:trPr>
          <w:cantSplit/>
          <w:jc w:val="center"/>
        </w:trPr>
        <w:tc>
          <w:tcPr>
            <w:tcW w:w="3855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Перечислен аванс</w:t>
            </w:r>
          </w:p>
        </w:tc>
        <w:tc>
          <w:tcPr>
            <w:tcW w:w="2494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Аванс поставщику</w:t>
            </w:r>
          </w:p>
        </w:tc>
        <w:tc>
          <w:tcPr>
            <w:tcW w:w="1701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Деньги</w:t>
            </w:r>
          </w:p>
        </w:tc>
        <w:tc>
          <w:tcPr>
            <w:tcW w:w="1417" w:type="dxa"/>
            <w:vAlign w:val="center"/>
          </w:tcPr>
          <w:p w:rsidR="00FA534E" w:rsidRDefault="00674377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100</w:t>
            </w:r>
          </w:p>
        </w:tc>
      </w:tr>
      <w:tr w:rsidR="00FA534E">
        <w:trPr>
          <w:cantSplit/>
          <w:jc w:val="center"/>
        </w:trPr>
        <w:tc>
          <w:tcPr>
            <w:tcW w:w="3855" w:type="dxa"/>
            <w:vAlign w:val="center"/>
          </w:tcPr>
          <w:p w:rsidR="00FA534E" w:rsidRDefault="00674377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Выполнено условие в части расходов</w:t>
            </w:r>
          </w:p>
        </w:tc>
        <w:tc>
          <w:tcPr>
            <w:tcW w:w="2494" w:type="dxa"/>
            <w:vAlign w:val="center"/>
          </w:tcPr>
          <w:p w:rsidR="00FA534E" w:rsidRDefault="00674377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Обязательство</w:t>
            </w:r>
          </w:p>
        </w:tc>
        <w:tc>
          <w:tcPr>
            <w:tcW w:w="1701" w:type="dxa"/>
            <w:vAlign w:val="center"/>
          </w:tcPr>
          <w:p w:rsidR="00FA534E" w:rsidRDefault="00674377">
            <w:pPr>
              <w:keepNext w:val="0"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Доход</w:t>
            </w:r>
          </w:p>
        </w:tc>
        <w:tc>
          <w:tcPr>
            <w:tcW w:w="1417" w:type="dxa"/>
            <w:vAlign w:val="center"/>
          </w:tcPr>
          <w:p w:rsidR="00FA534E" w:rsidRDefault="00674377">
            <w:pPr>
              <w:keepNext w:val="0"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300</w:t>
            </w:r>
          </w:p>
        </w:tc>
      </w:tr>
    </w:tbl>
    <w:p w:rsidR="00FA534E" w:rsidRDefault="00FA534E">
      <w:pPr>
        <w:spacing w:line="20" w:lineRule="exact"/>
        <w:ind w:firstLine="0"/>
      </w:pP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 xml:space="preserve">На конец периода доход составляет </w:t>
      </w:r>
      <w:r>
        <w:rPr>
          <w:rFonts w:eastAsia="Times New Roman" w:cs="Times New Roman"/>
          <w:lang w:val="ru-RU"/>
        </w:rPr>
        <w:t>300, расход — 300, результат проекта — ноль. Непогашенная часть обязательства по условному финансированию равна 300. Ей соответствуют деньги 200 и аванс 100. Аванс сам по себе не подтверждает потребление ресурса и в условиях задачи еще не дает основания пр</w:t>
      </w:r>
      <w:r>
        <w:rPr>
          <w:rFonts w:eastAsia="Times New Roman" w:cs="Times New Roman"/>
          <w:lang w:val="ru-RU"/>
        </w:rPr>
        <w:t>изнать дополнительные 100 дохода.</w:t>
      </w: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>Контрольная взаимосвязь показывает качество учета: активы проекта 300 равны его обязательству 300. Если признать доходом все 600, возникнет необоснованный результат 300 и исчезнет информация о сохраняющемся условии. Если п</w:t>
      </w:r>
      <w:r>
        <w:rPr>
          <w:rFonts w:eastAsia="Times New Roman" w:cs="Times New Roman"/>
          <w:lang w:val="ru-RU"/>
        </w:rPr>
        <w:t>ризнать расходом аванс 100, будут искажены и расходы, и состав активов.</w:t>
      </w:r>
    </w:p>
    <w:p w:rsidR="00FA534E" w:rsidRDefault="00674377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5 Субвенции и другие трансферты</w:t>
      </w: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>Субвенция рассматривается в контексте межбюджетных отношений. Нельзя автоматически отождествлять перечисление из вышестоящего бюджета нижестоящему с отд</w:t>
      </w:r>
      <w:r>
        <w:rPr>
          <w:rFonts w:eastAsia="Times New Roman" w:cs="Times New Roman"/>
          <w:lang w:val="ru-RU"/>
        </w:rPr>
        <w:t>ельным грантом, который государственное учреждение непосредственно получает от донора. Различаются получатель, уровень бюджета и документы исполнения.</w:t>
      </w: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 xml:space="preserve">При изучении цепочки финансирования полезно отдельно показать уровень межбюджетного трансферта и уровень </w:t>
      </w:r>
      <w:r>
        <w:rPr>
          <w:rFonts w:eastAsia="Times New Roman" w:cs="Times New Roman"/>
          <w:lang w:val="ru-RU"/>
        </w:rPr>
        <w:t>финансирования конкретной бюджетной программы учреждения. Один ресурс может последовательно отражаться в документах разных уровней, однако это не повод дважды признавать его доходом в одной отчетной единице. Граница отчетности должна оставаться определенно</w:t>
      </w:r>
      <w:r>
        <w:rPr>
          <w:rFonts w:eastAsia="Times New Roman" w:cs="Times New Roman"/>
          <w:lang w:val="ru-RU"/>
        </w:rPr>
        <w:t>й.</w:t>
      </w: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>В пояснениях раскрывают характер существенного источника, невыполненные условия и ограничения, если это предусмотрено применимой моделью отчетности. Для анализа также важна устойчивость источника: разовая помощь не дает достаточного основания планироват</w:t>
      </w:r>
      <w:r>
        <w:rPr>
          <w:rFonts w:eastAsia="Times New Roman" w:cs="Times New Roman"/>
          <w:lang w:val="ru-RU"/>
        </w:rPr>
        <w:t>ь постоянные ежегодные расходы без подтверждения будущего обеспечения.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Передающая сторона и получатель применяют разные правила: доход получателя не является зеркальной проводкой расхода передающей стороны. МСФО ОС 48 регулирует трансфертные расходы и учитывает наличие обязывающего соглашения и права на исполнение обязанностей получателем. Аванс по такому соглашению может представлять трансфертный актив до выполнения установленных условий. Национальные записи межбюджетных трансфертов определяются Бюджетным кодексом и Планом счетов. [Н1, Н4; М48]</w:t>
      </w:r>
    </w:p>
    <w:p w:rsidR="00FA534E" w:rsidRDefault="00674377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6 Контроль целевого использования</w:t>
      </w: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 xml:space="preserve">Регистр проекта должен соединять поступление, договор, платеж, факт приемки и использование ресурса. Учет только по денежной выписке теряет сведения о </w:t>
      </w:r>
      <w:r>
        <w:rPr>
          <w:rFonts w:eastAsia="Times New Roman" w:cs="Times New Roman"/>
          <w:lang w:val="ru-RU"/>
        </w:rPr>
        <w:t>неиспользованных запасах и авансах. Учет только по расходам не показывает объем еще не исполненных договоров и предстоящих платежей.</w:t>
      </w: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>Перед завершением проекта сверяют исходное соглашение, изменения, допустимые затраты, остатки и результат. Отклонение разби</w:t>
      </w:r>
      <w:r>
        <w:rPr>
          <w:rFonts w:eastAsia="Times New Roman" w:cs="Times New Roman"/>
          <w:lang w:val="ru-RU"/>
        </w:rPr>
        <w:t>рают по причине: ошибка классификации, перенос мероприятия, неподтвержденная поставка или нецелевое использование требуют разных действий. Исправление бухгалтерской записи не делает запрещенный расход разрешенным задним числом.</w:t>
      </w:r>
    </w:p>
    <w:p w:rsidR="00FA534E" w:rsidRDefault="00674377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Часты</w:t>
      </w:r>
      <w:r>
        <w:rPr>
          <w:rFonts w:ascii="Times New Roman" w:eastAsia="Times New Roman" w:hAnsi="Times New Roman" w:cs="Times New Roman"/>
          <w:lang w:val="ru-RU"/>
        </w:rPr>
        <w:t>е ошибки</w:t>
      </w:r>
    </w:p>
    <w:p w:rsidR="00FA534E" w:rsidRDefault="00674377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Относить каждое поступление денег к доходам без анализа его содержания.</w:t>
      </w:r>
    </w:p>
    <w:p w:rsidR="00FA534E" w:rsidRDefault="00674377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Подменять источник финансирования бухгалтерским счетом доходов.</w:t>
      </w:r>
    </w:p>
    <w:p w:rsidR="00FA534E" w:rsidRDefault="00674377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Признавать аванс подтверждением выполненного мероприятия.</w:t>
      </w:r>
    </w:p>
    <w:p w:rsidR="00FA534E" w:rsidRDefault="00674377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Считать любую субвенцию отдельным донорским грантом у</w:t>
      </w:r>
      <w:r>
        <w:rPr>
          <w:rFonts w:eastAsia="Times New Roman" w:cs="Times New Roman"/>
          <w:lang w:val="ru-RU"/>
        </w:rPr>
        <w:t>чреждения.</w:t>
      </w:r>
    </w:p>
    <w:p w:rsidR="00FA534E" w:rsidRDefault="00674377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Вопросы для обсуждения</w:t>
      </w: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>1. Почему вид источника и момент признания дохода анализируют отдельно?</w:t>
      </w: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>2. Чем отличаются обменная услуга и необменное поступление?</w:t>
      </w: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>3. Как влияет обязанность возврата на анализ целевого финансирования?</w:t>
      </w: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>4. Какие остатки нуж</w:t>
      </w:r>
      <w:r>
        <w:rPr>
          <w:rFonts w:eastAsia="Times New Roman" w:cs="Times New Roman"/>
          <w:lang w:val="ru-RU"/>
        </w:rPr>
        <w:t>но проверить перед закрытием проекта?</w:t>
      </w:r>
    </w:p>
    <w:p w:rsidR="00FA534E" w:rsidRDefault="00674377">
      <w:pPr>
        <w:jc w:val="both"/>
      </w:pPr>
      <w:r>
        <w:rPr>
          <w:rFonts w:eastAsia="Times New Roman" w:cs="Times New Roman"/>
          <w:lang w:val="ru-RU"/>
        </w:rPr>
        <w:t>5. Почему исправление проводки не устраняет нарушение назначения расхода?</w:t>
      </w:r>
    </w:p>
    <w:p>
      <w:pPr>
        <w:pStyle w:val="1"/>
        <w:keepNext/>
      </w:pPr>
      <w:r>
        <w:rPr>
          <w:rFonts w:ascii="Times New Roman" w:hAnsi="Times New Roman"/>
          <w:b/>
          <w:sz w:val="24"/>
        </w:rPr>
        <w:t>Самопроверка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Из целевого поступления 900 тыс. тенге допустимые затраты, погашающие условие возврата, подтверждены на 450. Поставщику перечислен аванс 150; деньги на счете — 300. Какими будут доход, обязательство и активы проекта?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Ответ. Доход — 450, сохраняющееся обязательство — 450. Активы проекта: аванс 150 и деньги 300, всего 450. Аванс не погашает условие, пока не выполнено предусмотренное соглашением требование.</w:t>
      </w:r>
    </w:p>
    <w:p w:rsidR="00FA534E" w:rsidRDefault="00674377">
      <w:pPr>
        <w:pStyle w:val="1"/>
        <w:keepNext/>
      </w:pPr>
      <w:bookmarkStart w:id="0" w:name="_GoBack"/>
      <w:bookmarkEnd w:id="0"/>
      <w:r>
        <w:rPr>
          <w:rFonts w:ascii="Times New Roman" w:eastAsia="Times New Roman" w:hAnsi="Times New Roman" w:cs="Times New Roman"/>
          <w:lang w:val="ru-RU"/>
        </w:rPr>
        <w:t>Литература и нормативные источники</w:t>
      </w:r>
    </w:p>
    <w:p>
      <w:pPr>
        <w:spacing w:after="40"/>
      </w:pPr>
      <w:r>
        <w:t>НПА приведены в редакциях, действующих на 27 октября 2026 года. МСФО ОС — по материалам IPSASB; даты начала применения отдельных стандартов указаны в тексте.</w:t>
      </w:r>
    </w:p>
    <w:p>
      <w:pPr>
        <w:spacing w:after="40"/>
      </w:pPr>
      <w:r>
        <w:t xml:space="preserve">[Н1] </w:t>
      </w:r>
      <w:hyperlink r:id="rId8">
        <w:r>
          <w:rPr>
            <w:rFonts w:ascii="Times New Roman" w:hAnsi="Times New Roman"/>
            <w:sz w:val="24"/>
          </w:rPr>
          <w:t>Бюджетный кодекс Республики Казахстан от 15 марта 2025 года № 171-VIII, статьи 130–132.</w:t>
        </w:r>
      </w:hyperlink>
    </w:p>
    <w:p>
      <w:pPr>
        <w:spacing w:after="40"/>
      </w:pPr>
      <w:r>
        <w:t xml:space="preserve">[Н3] </w:t>
      </w:r>
      <w:hyperlink r:id="rId9">
        <w:r>
          <w:rPr>
            <w:rFonts w:ascii="Times New Roman" w:hAnsi="Times New Roman"/>
            <w:sz w:val="24"/>
          </w:rPr>
          <w:t>Приказ Министра финансов РК от 12 мая 2025 года № 223 «Об утверждении Правил ведения бухгалтерского учета в государственных учреждениях».</w:t>
        </w:r>
      </w:hyperlink>
    </w:p>
    <w:p>
      <w:pPr>
        <w:spacing w:after="40"/>
      </w:pPr>
      <w:r>
        <w:t xml:space="preserve">[Н4] </w:t>
      </w:r>
      <w:hyperlink r:id="rId12">
        <w:r>
          <w:rPr>
            <w:rFonts w:ascii="Times New Roman" w:hAnsi="Times New Roman"/>
            <w:sz w:val="24"/>
          </w:rPr>
          <w:t>Приказ Министра финансов РК от 16 апреля 2025 года № 170 «Об утверждении Плана счетов бухгалтерского учета государственных учреждений».</w:t>
        </w:r>
      </w:hyperlink>
    </w:p>
    <w:p>
      <w:pPr>
        <w:spacing w:after="40"/>
      </w:pPr>
      <w:r>
        <w:t xml:space="preserve">[Н5] </w:t>
      </w:r>
      <w:hyperlink r:id="rId10">
        <w:r>
          <w:rPr>
            <w:rFonts w:ascii="Times New Roman" w:hAnsi="Times New Roman"/>
            <w:sz w:val="24"/>
          </w:rPr>
          <w:t>Приказ Министра финансов РК от 24 апреля 2025 года № 191 «Об утверждении Учетной политики».</w:t>
        </w:r>
      </w:hyperlink>
    </w:p>
    <w:p>
      <w:pPr>
        <w:spacing w:after="40"/>
      </w:pPr>
      <w:r>
        <w:t xml:space="preserve">[Н6] </w:t>
      </w:r>
      <w:hyperlink r:id="rId11">
        <w:r>
          <w:rPr>
            <w:rFonts w:ascii="Times New Roman" w:hAnsi="Times New Roman"/>
            <w:sz w:val="24"/>
          </w:rPr>
          <w:t>Приказ Министра финансов РК от 27 июня 2025 года № 328 «Об утверждении процедур казначейского исполнения бюджета и его кассового обслуживания, казначейского учета и мониторинга».</w:t>
        </w:r>
      </w:hyperlink>
    </w:p>
    <w:p>
      <w:pPr>
        <w:spacing w:after="40"/>
      </w:pPr>
      <w:r>
        <w:t xml:space="preserve">[М47] </w:t>
      </w:r>
      <w:hyperlink r:id="rId16">
        <w:r>
          <w:rPr>
            <w:rFonts w:ascii="Times New Roman" w:hAnsi="Times New Roman"/>
            <w:sz w:val="24"/>
          </w:rPr>
          <w:t>МСФО ОС (IPSAS) 47 «Доходы». IPSASB, редакция сборника 2026 года.</w:t>
        </w:r>
      </w:hyperlink>
    </w:p>
    <w:p>
      <w:pPr>
        <w:spacing w:after="40"/>
      </w:pPr>
      <w:r>
        <w:t xml:space="preserve">[М48] </w:t>
      </w:r>
      <w:hyperlink r:id="rId17">
        <w:r>
          <w:rPr>
            <w:rFonts w:ascii="Times New Roman" w:hAnsi="Times New Roman"/>
            <w:sz w:val="24"/>
          </w:rPr>
          <w:t>МСФО ОС (IPSAS) 48 «Трансфертные расходы». IPSASB, редакция сборника 2026 года.</w:t>
        </w:r>
      </w:hyperlink>
    </w:p>
    <w:p>
      <w:pPr>
        <w:spacing w:after="40"/>
      </w:pPr>
      <w:r>
        <w:t>Учебная литература: [Л1] и [Л5] в программе курса.</w:t>
      </w:r>
    </w:p>
    <w:sectPr w:rsidR="00FA534E" w:rsidSect="00034616">
      <w:footerReference w:type="default" r:id="rId13"/>
      <w:pgSz w:w="11906" w:h="16838"/>
      <w:pgMar w:top="1134" w:right="1134" w:bottom="1134" w:left="130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377" w:rsidRDefault="00674377">
      <w:pPr>
        <w:spacing w:after="0" w:line="240" w:lineRule="auto"/>
      </w:pPr>
      <w:r>
        <w:separator/>
      </w:r>
    </w:p>
  </w:endnote>
  <w:endnote w:type="continuationSeparator" w:id="0">
    <w:p w:rsidR="00674377" w:rsidRDefault="00674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34E" w:rsidRDefault="00674377">
    <w:pPr>
      <w:pStyle w:val="a7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377" w:rsidRDefault="00674377">
      <w:pPr>
        <w:spacing w:after="0" w:line="240" w:lineRule="auto"/>
      </w:pPr>
      <w:r>
        <w:separator/>
      </w:r>
    </w:p>
  </w:footnote>
  <w:footnote w:type="continuationSeparator" w:id="0">
    <w:p w:rsidR="00674377" w:rsidRDefault="006743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A4CB1"/>
    <w:rsid w:val="00674377"/>
    <w:rsid w:val="00A80005"/>
    <w:rsid w:val="00AA1D8D"/>
    <w:rsid w:val="00B47730"/>
    <w:rsid w:val="00CB0664"/>
    <w:rsid w:val="00D74662"/>
    <w:rsid w:val="00FA53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A4D4C9"/>
  <w14:defaultImageDpi w14:val="300"/>
  <w15:docId w15:val="{E8A31B49-EB58-4A43-B637-957FDA196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64" w:lineRule="auto"/>
      <w:ind w:firstLine="709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adilet.zan.kz/rus/docs/K2500000171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dilet.zan.kz/rus/docs/G25E000017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ilet.zan.kz/rus/docs/G25E000032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dilet.zan.kz/rus/docs/G25E000019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G25E0000223" TargetMode="External"/><Relationship Id="rId14" Type="http://schemas.openxmlformats.org/officeDocument/2006/relationships/fontTable" Target="fontTable.xml"/><Relationship Id="rId16" Type="http://schemas.openxmlformats.org/officeDocument/2006/relationships/hyperlink" Target="https://www.ipsasb.org/publications/ipsas-47-revenue" TargetMode="External"/><Relationship Id="rId17" Type="http://schemas.openxmlformats.org/officeDocument/2006/relationships/hyperlink" Target="https://www.ipsasb.org/publications/ipsas-48-transfer-expens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FC342B-0F60-46DE-BF46-B691542F4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1529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Финансовое обеспечение деятельности бюджетных организаций</dc:title>
  <dc:subject>Бухгалтерский учет в бюджетных организациях</dc:subject>
  <dc:creator/>
  <cp:keywords>Казахстан; государственные учреждения; учет; лекции; 2026</cp:keywords>
  <dc:description>generated by python-docx</dc:description>
  <cp:lastModifiedBy>Гульжан Байтикенова</cp:lastModifiedBy>
  <cp:revision>4</cp:revision>
  <dcterms:created xsi:type="dcterms:W3CDTF">2013-12-23T23:15:00Z</dcterms:created>
  <dcterms:modified xsi:type="dcterms:W3CDTF">2026-10-21T10:22:00Z</dcterms:modified>
  <cp:category/>
</cp:coreProperties>
</file>