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02CE" w:rsidRDefault="00FC45CE">
      <w:pPr>
        <w:keepNext/>
        <w:jc w:val="both"/>
      </w:pPr>
      <w:r>
        <w:rPr>
          <w:rFonts w:eastAsia="Times New Roman" w:cs="Times New Roman"/>
          <w:b/>
          <w:lang w:val="ru-RU"/>
        </w:rPr>
        <w:t>ЛЕКЦИЯ 2</w:t>
      </w:r>
    </w:p>
    <w:p w:rsidR="00EA02CE" w:rsidRDefault="00FC45CE">
      <w:pPr>
        <w:pStyle w:val="aa"/>
        <w:keepNext/>
        <w:spacing w:after="160"/>
      </w:pPr>
      <w:r>
        <w:rPr>
          <w:rFonts w:ascii="Times New Roman" w:eastAsia="Times New Roman" w:hAnsi="Times New Roman" w:cs="Times New Roman"/>
          <w:lang w:val="ru-RU"/>
        </w:rPr>
        <w:t>Методология планирования и учета бюджетных средств</w:t>
      </w:r>
    </w:p>
    <w:p>
      <w:pPr>
        <w:keepNext w:val="0"/>
        <w:jc w:val="both"/>
      </w:pPr>
      <w:r>
        <w:rPr>
          <w:rFonts w:eastAsia="Times New Roman" w:cs="Times New Roman"/>
          <w:lang w:val="ru-RU"/>
        </w:rPr>
        <w:t>Цель лекции. Разграничить бюджетные назначения, договорные обязательства, начисленные суммы и кассовые платежи; освоить их сверку.</w:t>
      </w:r>
    </w:p>
    <w:p w:rsidR="00EA02CE" w:rsidRDefault="00FC45CE">
      <w:pPr>
        <w:jc w:val="both"/>
      </w:pPr>
      <w:r>
        <w:rPr>
          <w:rFonts w:eastAsia="Times New Roman" w:cs="Times New Roman"/>
          <w:b/>
          <w:lang w:val="ru-RU"/>
        </w:rPr>
        <w:t>План лекции.</w:t>
      </w:r>
      <w:r>
        <w:rPr>
          <w:rFonts w:eastAsia="Times New Roman" w:cs="Times New Roman"/>
          <w:lang w:val="ru-RU"/>
        </w:rPr>
        <w:t xml:space="preserve"> Бюджетный цикл; планирование по обязательствам и платежам; кассовый подход и начисление; казначейское исполнение; сверка показателей.</w:t>
      </w:r>
    </w:p>
    <w:p w:rsidR="00EA02CE" w:rsidRDefault="00FC45CE">
      <w:pPr>
        <w:pStyle w:val="1"/>
        <w:keepNext/>
      </w:pPr>
      <w:r>
        <w:rPr>
          <w:rFonts w:ascii="Times New Roman" w:eastAsia="Times New Roman" w:hAnsi="Times New Roman" w:cs="Times New Roman"/>
          <w:lang w:val="ru-RU"/>
        </w:rPr>
        <w:t>1 Бюджетный цикл и назначение планирования</w:t>
      </w:r>
    </w:p>
    <w:p w:rsidR="00EA02CE" w:rsidRDefault="00FC45CE">
      <w:pPr>
        <w:jc w:val="both"/>
      </w:pPr>
      <w:r>
        <w:rPr>
          <w:rFonts w:eastAsia="Times New Roman" w:cs="Times New Roman"/>
          <w:lang w:val="ru-RU"/>
        </w:rPr>
        <w:t>Бюджет представляет финансовую основу выполнения государственных задач. Планирование должно отвечать на связанные вопросы: какую услугу или функцию нужно обеспечить, какой результат ожидается, какие ресурсы для этого необходимы и когда потребуются платежи. Если план строится только от прошлогодней суммы, он может воспроизвести неэффективную структуру затрат и не учесть изменение объема услуг.</w:t>
      </w:r>
    </w:p>
    <w:p w:rsidR="00EA02CE" w:rsidRDefault="00FC45CE">
      <w:pPr>
        <w:jc w:val="both"/>
      </w:pPr>
      <w:r>
        <w:rPr>
          <w:rFonts w:eastAsia="Times New Roman" w:cs="Times New Roman"/>
          <w:b/>
          <w:lang w:val="ru-RU"/>
        </w:rPr>
        <w:t>Бюджетный цикл</w:t>
      </w:r>
      <w:r>
        <w:rPr>
          <w:rFonts w:eastAsia="Times New Roman" w:cs="Times New Roman"/>
          <w:lang w:val="ru-RU"/>
        </w:rPr>
        <w:t xml:space="preserve"> объединяет подготовку и рассмотрение проекта, утверждение бюджета, исполнение, отчетность и последующую оценку. Эти стадии связаны обратной связью: результаты исполнения помогают уточнить потребность следующего периода. Утвержденное финансирование создает рамки деятельности, но само по себе не доказывает, что услуги оказаны и затраты обоснованны.</w:t>
      </w:r>
    </w:p>
    <w:p w:rsidR="00EA02CE" w:rsidRDefault="00FC45CE">
      <w:pPr>
        <w:jc w:val="both"/>
      </w:pPr>
      <w:r>
        <w:rPr>
          <w:rFonts w:eastAsia="Times New Roman" w:cs="Times New Roman"/>
          <w:lang w:val="ru-RU"/>
        </w:rPr>
        <w:t>Бюджетная программа связывает ресурсы с направлением государственной деятельности и показателями результата. Администратор бюджетной программы организует соответствующую работу в пределах полномочий. Учреждение формирует данные о своей потребности и исполнении. Важно различать уровень отдельного учреждения, уровень администратора и бюджет в целом: одинаковое слово «расход» может использоваться в разных отчетных контекстах.</w:t>
      </w:r>
    </w:p>
    <w:p w:rsidR="00EA02CE" w:rsidRDefault="00FC45CE">
      <w:pPr>
        <w:jc w:val="both"/>
      </w:pPr>
      <w:r>
        <w:rPr>
          <w:rFonts w:eastAsia="Times New Roman" w:cs="Times New Roman"/>
          <w:lang w:val="ru-RU"/>
        </w:rPr>
        <w:t>Для обоснования расходов определяют количество получателей услуги, нормативную потребность в ресурсах, действующие договоры и обязательные выплаты. Отдельно учитывают сезонность. Например, равномерное распределение годового бюджета отопления по двенадцати месяцам не отражает реального графика платежей. Для оборудования существенны сроки поставки и ввода в использование.</w:t>
      </w:r>
    </w:p>
    <w:p w:rsidR="00EA02CE" w:rsidRDefault="00FC45CE">
      <w:pPr>
        <w:pStyle w:val="1"/>
        <w:keepNext/>
      </w:pPr>
      <w:r>
        <w:rPr>
          <w:rFonts w:ascii="Times New Roman" w:eastAsia="Times New Roman" w:hAnsi="Times New Roman" w:cs="Times New Roman"/>
          <w:lang w:val="ru-RU"/>
        </w:rPr>
        <w:t>2 Планы по обязательствам и платежам</w:t>
      </w:r>
    </w:p>
    <w:p w:rsidR="00EA02CE" w:rsidRDefault="00FC45CE">
      <w:pPr>
        <w:jc w:val="both"/>
      </w:pPr>
      <w:r>
        <w:rPr>
          <w:rFonts w:eastAsia="Times New Roman" w:cs="Times New Roman"/>
          <w:lang w:val="ru-RU"/>
        </w:rPr>
        <w:t>Казначейское исполнение бюджета и его кассовое обслуживание осуществляются по процедурам, утвержденным приказом № 328. Индивидуальные планы финансирования по обязательствам и платежам увязываются с бюджетной программой, экономической классификацией и графиком исполнения. Изменение потребности оформляется в предусмотренном порядке и не заменяется самостоятельным переносом сумм между назначениями. [Н1, Н6]</w:t>
      </w:r>
    </w:p>
    <w:p w:rsidR="00EA02CE" w:rsidRDefault="00FC45CE">
      <w:pPr>
        <w:jc w:val="both"/>
      </w:pPr>
      <w:r>
        <w:rPr>
          <w:rFonts w:eastAsia="Times New Roman" w:cs="Times New Roman"/>
          <w:b/>
          <w:lang w:val="ru-RU"/>
        </w:rPr>
        <w:t>План финансирования по обязательствам</w:t>
      </w:r>
      <w:r>
        <w:rPr>
          <w:rFonts w:eastAsia="Times New Roman" w:cs="Times New Roman"/>
          <w:lang w:val="ru-RU"/>
        </w:rPr>
        <w:t xml:space="preserve"> определяет возможность принятия предусмотренных обязательств. </w:t>
      </w:r>
      <w:r>
        <w:rPr>
          <w:rFonts w:eastAsia="Times New Roman" w:cs="Times New Roman"/>
          <w:b/>
          <w:lang w:val="ru-RU"/>
        </w:rPr>
        <w:t>План по платежам</w:t>
      </w:r>
      <w:r>
        <w:rPr>
          <w:rFonts w:eastAsia="Times New Roman" w:cs="Times New Roman"/>
          <w:lang w:val="ru-RU"/>
        </w:rPr>
        <w:t xml:space="preserve"> отражает ожидаемое кассовое исполнение. Временные графики могут различаться: договор заключается в одном месяце, поставка происходит во втором, оплата — в третьем. Нельзя использовать наличие платежного назначения как подтверждение фактической поставки.</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0" w:type="dxa"/>
          <w:bottom w:w="65" w:type="dxa"/>
          <w:right w:w="90" w:type="dxa"/>
        </w:tblCellMar>
        <w:tblLook w:val="04A0" w:firstRow="1" w:lastRow="0" w:firstColumn="1" w:lastColumn="0" w:noHBand="0" w:noVBand="1"/>
      </w:tblPr>
      <w:tblGrid>
        <w:gridCol w:w="2948"/>
        <w:gridCol w:w="3402"/>
        <w:gridCol w:w="3118"/>
      </w:tblGrid>
      <w:tr w:rsidR="00EA02CE">
        <w:trPr>
          <w:cantSplit/>
          <w:tblHeader/>
          <w:jc w:val="center"/>
        </w:trPr>
        <w:tc>
          <w:tcPr>
            <w:tcW w:w="2948" w:type="dxa"/>
            <w:shd w:val="clear" w:color="auto" w:fill="E8EFF5"/>
            <w:vAlign w:val="center"/>
          </w:tcPr>
          <w:p w:rsidR="00EA02CE" w:rsidRDefault="00FC45CE">
            <w:pPr>
              <w:keepNext/>
              <w:spacing w:after="0" w:line="240" w:lineRule="auto"/>
              <w:ind w:firstLine="0"/>
            </w:pPr>
            <w:r>
              <w:rPr>
                <w:rFonts w:eastAsia="Times New Roman" w:cs="Times New Roman"/>
                <w:b/>
                <w:sz w:val="21"/>
                <w:lang w:val="ru-RU"/>
              </w:rPr>
              <w:t>Стадия</w:t>
            </w:r>
          </w:p>
        </w:tc>
        <w:tc>
          <w:tcPr>
            <w:tcW w:w="3402" w:type="dxa"/>
            <w:shd w:val="clear" w:color="auto" w:fill="E8EFF5"/>
            <w:vAlign w:val="center"/>
          </w:tcPr>
          <w:p w:rsidR="00EA02CE" w:rsidRDefault="00FC45CE">
            <w:pPr>
              <w:keepNext/>
              <w:spacing w:after="0" w:line="240" w:lineRule="auto"/>
              <w:ind w:firstLine="0"/>
            </w:pPr>
            <w:r>
              <w:rPr>
                <w:rFonts w:eastAsia="Times New Roman" w:cs="Times New Roman"/>
                <w:b/>
                <w:sz w:val="21"/>
                <w:lang w:val="ru-RU"/>
              </w:rPr>
              <w:t>Экономическое содержание</w:t>
            </w:r>
          </w:p>
        </w:tc>
        <w:tc>
          <w:tcPr>
            <w:tcW w:w="3118" w:type="dxa"/>
            <w:shd w:val="clear" w:color="auto" w:fill="E8EFF5"/>
            <w:vAlign w:val="center"/>
          </w:tcPr>
          <w:p w:rsidR="00EA02CE" w:rsidRDefault="00FC45CE">
            <w:pPr>
              <w:keepNext/>
              <w:spacing w:after="0" w:line="240" w:lineRule="auto"/>
              <w:ind w:firstLine="0"/>
            </w:pPr>
            <w:r>
              <w:rPr>
                <w:rFonts w:eastAsia="Times New Roman" w:cs="Times New Roman"/>
                <w:b/>
                <w:sz w:val="21"/>
                <w:lang w:val="ru-RU"/>
              </w:rPr>
              <w:t>Основное подтверждение</w:t>
            </w:r>
          </w:p>
        </w:tc>
      </w:tr>
      <w:tr w:rsidR="00EA02CE">
        <w:trPr>
          <w:cantSplit/>
          <w:jc w:val="center"/>
        </w:trPr>
        <w:tc>
          <w:tcPr>
            <w:tcW w:w="2948" w:type="dxa"/>
            <w:vAlign w:val="center"/>
          </w:tcPr>
          <w:p w:rsidR="00EA02CE" w:rsidRDefault="00FC45CE">
            <w:pPr>
              <w:keepNext/>
              <w:spacing w:after="0" w:line="240" w:lineRule="auto"/>
              <w:ind w:firstLine="0"/>
            </w:pPr>
            <w:r>
              <w:rPr>
                <w:rFonts w:eastAsia="Times New Roman" w:cs="Times New Roman"/>
                <w:sz w:val="21"/>
                <w:lang w:val="ru-RU"/>
              </w:rPr>
              <w:t>Обоснование потребности</w:t>
            </w:r>
          </w:p>
        </w:tc>
        <w:tc>
          <w:tcPr>
            <w:tcW w:w="3402" w:type="dxa"/>
            <w:vAlign w:val="center"/>
          </w:tcPr>
          <w:p w:rsidR="00EA02CE" w:rsidRDefault="00FC45CE">
            <w:pPr>
              <w:keepNext/>
              <w:spacing w:after="0" w:line="240" w:lineRule="auto"/>
              <w:ind w:firstLine="0"/>
            </w:pPr>
            <w:r>
              <w:rPr>
                <w:rFonts w:eastAsia="Times New Roman" w:cs="Times New Roman"/>
                <w:sz w:val="21"/>
                <w:lang w:val="ru-RU"/>
              </w:rPr>
              <w:t>Учреждению нужен ресурс для выполнения задачи</w:t>
            </w:r>
          </w:p>
        </w:tc>
        <w:tc>
          <w:tcPr>
            <w:tcW w:w="3118" w:type="dxa"/>
            <w:vAlign w:val="center"/>
          </w:tcPr>
          <w:p w:rsidR="00EA02CE" w:rsidRDefault="00FC45CE">
            <w:pPr>
              <w:keepNext/>
              <w:spacing w:after="0" w:line="240" w:lineRule="auto"/>
              <w:ind w:firstLine="0"/>
            </w:pPr>
            <w:r>
              <w:rPr>
                <w:rFonts w:eastAsia="Times New Roman" w:cs="Times New Roman"/>
                <w:sz w:val="21"/>
                <w:lang w:val="ru-RU"/>
              </w:rPr>
              <w:t>Расчет потребности и план</w:t>
            </w:r>
          </w:p>
        </w:tc>
      </w:tr>
      <w:tr w:rsidR="00EA02CE">
        <w:trPr>
          <w:cantSplit/>
          <w:jc w:val="center"/>
        </w:trPr>
        <w:tc>
          <w:tcPr>
            <w:tcW w:w="2948" w:type="dxa"/>
            <w:vAlign w:val="center"/>
          </w:tcPr>
          <w:p w:rsidR="00EA02CE" w:rsidRDefault="00FC45CE">
            <w:pPr>
              <w:keepNext/>
              <w:spacing w:after="0" w:line="240" w:lineRule="auto"/>
              <w:ind w:firstLine="0"/>
            </w:pPr>
            <w:r>
              <w:rPr>
                <w:rFonts w:eastAsia="Times New Roman" w:cs="Times New Roman"/>
                <w:sz w:val="21"/>
                <w:lang w:val="ru-RU"/>
              </w:rPr>
              <w:t>Принятие обязательства</w:t>
            </w:r>
          </w:p>
        </w:tc>
        <w:tc>
          <w:tcPr>
            <w:tcW w:w="3402" w:type="dxa"/>
            <w:vAlign w:val="center"/>
          </w:tcPr>
          <w:p w:rsidR="00EA02CE" w:rsidRDefault="00FC45CE">
            <w:pPr>
              <w:keepNext/>
              <w:spacing w:after="0" w:line="240" w:lineRule="auto"/>
              <w:ind w:firstLine="0"/>
            </w:pPr>
            <w:r>
              <w:rPr>
                <w:rFonts w:eastAsia="Times New Roman" w:cs="Times New Roman"/>
                <w:sz w:val="21"/>
                <w:lang w:val="ru-RU"/>
              </w:rPr>
              <w:t>Возникает договорная обязанность на согласованных условиях</w:t>
            </w:r>
          </w:p>
        </w:tc>
        <w:tc>
          <w:tcPr>
            <w:tcW w:w="3118" w:type="dxa"/>
            <w:vAlign w:val="center"/>
          </w:tcPr>
          <w:p w:rsidR="00EA02CE" w:rsidRDefault="00FC45CE">
            <w:pPr>
              <w:keepNext/>
              <w:spacing w:after="0" w:line="240" w:lineRule="auto"/>
              <w:ind w:firstLine="0"/>
            </w:pPr>
            <w:r>
              <w:rPr>
                <w:rFonts w:eastAsia="Times New Roman" w:cs="Times New Roman"/>
                <w:sz w:val="21"/>
                <w:lang w:val="ru-RU"/>
              </w:rPr>
              <w:t>Договор и требуемая регистрация</w:t>
            </w:r>
          </w:p>
        </w:tc>
      </w:tr>
      <w:tr w:rsidR="00EA02CE">
        <w:trPr>
          <w:cantSplit/>
          <w:jc w:val="center"/>
        </w:trPr>
        <w:tc>
          <w:tcPr>
            <w:tcW w:w="2948" w:type="dxa"/>
            <w:vAlign w:val="center"/>
          </w:tcPr>
          <w:p w:rsidR="00EA02CE" w:rsidRDefault="00FC45CE">
            <w:pPr>
              <w:keepNext/>
              <w:spacing w:after="0" w:line="240" w:lineRule="auto"/>
              <w:ind w:firstLine="0"/>
            </w:pPr>
            <w:r>
              <w:rPr>
                <w:rFonts w:eastAsia="Times New Roman" w:cs="Times New Roman"/>
                <w:sz w:val="21"/>
                <w:lang w:val="ru-RU"/>
              </w:rPr>
              <w:lastRenderedPageBreak/>
              <w:t>Исполнение поставщиком</w:t>
            </w:r>
          </w:p>
        </w:tc>
        <w:tc>
          <w:tcPr>
            <w:tcW w:w="3402" w:type="dxa"/>
            <w:vAlign w:val="center"/>
          </w:tcPr>
          <w:p w:rsidR="00EA02CE" w:rsidRDefault="00FC45CE">
            <w:pPr>
              <w:keepNext/>
              <w:spacing w:after="0" w:line="240" w:lineRule="auto"/>
              <w:ind w:firstLine="0"/>
            </w:pPr>
            <w:r>
              <w:rPr>
                <w:rFonts w:eastAsia="Times New Roman" w:cs="Times New Roman"/>
                <w:sz w:val="21"/>
                <w:lang w:val="ru-RU"/>
              </w:rPr>
              <w:t>Получен товар работа или услуга</w:t>
            </w:r>
          </w:p>
        </w:tc>
        <w:tc>
          <w:tcPr>
            <w:tcW w:w="3118" w:type="dxa"/>
            <w:vAlign w:val="center"/>
          </w:tcPr>
          <w:p w:rsidR="00EA02CE" w:rsidRDefault="00FC45CE">
            <w:pPr>
              <w:keepNext/>
              <w:spacing w:after="0" w:line="240" w:lineRule="auto"/>
              <w:ind w:firstLine="0"/>
            </w:pPr>
            <w:r>
              <w:rPr>
                <w:rFonts w:eastAsia="Times New Roman" w:cs="Times New Roman"/>
                <w:sz w:val="21"/>
                <w:lang w:val="ru-RU"/>
              </w:rPr>
              <w:t>Приемочные и первичные документы</w:t>
            </w:r>
          </w:p>
        </w:tc>
      </w:tr>
      <w:tr w:rsidR="00EA02CE">
        <w:trPr>
          <w:cantSplit/>
          <w:jc w:val="center"/>
        </w:trPr>
        <w:tc>
          <w:tcPr>
            <w:tcW w:w="2948" w:type="dxa"/>
            <w:vAlign w:val="center"/>
          </w:tcPr>
          <w:p w:rsidR="00EA02CE" w:rsidRDefault="00FC45CE">
            <w:pPr>
              <w:keepNext/>
              <w:spacing w:after="0" w:line="240" w:lineRule="auto"/>
              <w:ind w:firstLine="0"/>
            </w:pPr>
            <w:r>
              <w:rPr>
                <w:rFonts w:eastAsia="Times New Roman" w:cs="Times New Roman"/>
                <w:sz w:val="21"/>
                <w:lang w:val="ru-RU"/>
              </w:rPr>
              <w:t>Начисление в учете</w:t>
            </w:r>
          </w:p>
        </w:tc>
        <w:tc>
          <w:tcPr>
            <w:tcW w:w="3402" w:type="dxa"/>
            <w:vAlign w:val="center"/>
          </w:tcPr>
          <w:p w:rsidR="00EA02CE" w:rsidRDefault="00FC45CE">
            <w:pPr>
              <w:keepNext/>
              <w:spacing w:after="0" w:line="240" w:lineRule="auto"/>
              <w:ind w:firstLine="0"/>
            </w:pPr>
            <w:r>
              <w:rPr>
                <w:rFonts w:eastAsia="Times New Roman" w:cs="Times New Roman"/>
                <w:sz w:val="21"/>
                <w:lang w:val="ru-RU"/>
              </w:rPr>
              <w:t>Признаны актив расход и задолженность</w:t>
            </w:r>
          </w:p>
        </w:tc>
        <w:tc>
          <w:tcPr>
            <w:tcW w:w="3118" w:type="dxa"/>
            <w:vAlign w:val="center"/>
          </w:tcPr>
          <w:p w:rsidR="00EA02CE" w:rsidRDefault="00FC45CE">
            <w:pPr>
              <w:keepNext/>
              <w:spacing w:after="0" w:line="240" w:lineRule="auto"/>
              <w:ind w:firstLine="0"/>
            </w:pPr>
            <w:r>
              <w:rPr>
                <w:rFonts w:eastAsia="Times New Roman" w:cs="Times New Roman"/>
                <w:sz w:val="21"/>
                <w:lang w:val="ru-RU"/>
              </w:rPr>
              <w:t>Проверенный документ и учетная запись</w:t>
            </w:r>
          </w:p>
        </w:tc>
      </w:tr>
      <w:tr w:rsidR="00EA02CE">
        <w:trPr>
          <w:cantSplit/>
          <w:jc w:val="center"/>
        </w:trPr>
        <w:tc>
          <w:tcPr>
            <w:tcW w:w="2948" w:type="dxa"/>
            <w:vAlign w:val="center"/>
          </w:tcPr>
          <w:p w:rsidR="00EA02CE" w:rsidRDefault="00FC45CE">
            <w:pPr>
              <w:keepNext w:val="0"/>
              <w:spacing w:after="0" w:line="240" w:lineRule="auto"/>
              <w:ind w:firstLine="0"/>
            </w:pPr>
            <w:r>
              <w:rPr>
                <w:rFonts w:eastAsia="Times New Roman" w:cs="Times New Roman"/>
                <w:sz w:val="21"/>
                <w:lang w:val="ru-RU"/>
              </w:rPr>
              <w:t>Кассовый платеж</w:t>
            </w:r>
          </w:p>
        </w:tc>
        <w:tc>
          <w:tcPr>
            <w:tcW w:w="3402" w:type="dxa"/>
            <w:vAlign w:val="center"/>
          </w:tcPr>
          <w:p w:rsidR="00EA02CE" w:rsidRDefault="00FC45CE">
            <w:pPr>
              <w:keepNext w:val="0"/>
              <w:spacing w:after="0" w:line="240" w:lineRule="auto"/>
              <w:ind w:firstLine="0"/>
            </w:pPr>
            <w:r>
              <w:rPr>
                <w:rFonts w:eastAsia="Times New Roman" w:cs="Times New Roman"/>
                <w:sz w:val="21"/>
                <w:lang w:val="ru-RU"/>
              </w:rPr>
              <w:t>Денежные средства перечислены получателю</w:t>
            </w:r>
          </w:p>
        </w:tc>
        <w:tc>
          <w:tcPr>
            <w:tcW w:w="3118" w:type="dxa"/>
            <w:vAlign w:val="center"/>
          </w:tcPr>
          <w:p w:rsidR="00EA02CE" w:rsidRDefault="00FC45CE">
            <w:pPr>
              <w:keepNext w:val="0"/>
              <w:spacing w:after="0" w:line="240" w:lineRule="auto"/>
              <w:ind w:firstLine="0"/>
            </w:pPr>
            <w:r>
              <w:rPr>
                <w:rFonts w:eastAsia="Times New Roman" w:cs="Times New Roman"/>
                <w:sz w:val="21"/>
                <w:lang w:val="ru-RU"/>
              </w:rPr>
              <w:t>Платежный документ и выписка</w:t>
            </w:r>
          </w:p>
        </w:tc>
      </w:tr>
    </w:tbl>
    <w:p w:rsidR="00EA02CE" w:rsidRDefault="00EA02CE">
      <w:pPr>
        <w:spacing w:line="20" w:lineRule="exact"/>
        <w:ind w:firstLine="0"/>
      </w:pPr>
    </w:p>
    <w:p w:rsidR="00EA02CE" w:rsidRDefault="00FC45CE">
      <w:pPr>
        <w:jc w:val="both"/>
      </w:pPr>
      <w:r>
        <w:rPr>
          <w:rFonts w:eastAsia="Times New Roman" w:cs="Times New Roman"/>
          <w:lang w:val="ru-RU"/>
        </w:rPr>
        <w:t>Учет договоров до исполнения нужен для управления будущими платежами. При этом подписанный договор не всегда означает немедленное признание всей стоимости расходом и кредиторской задолженностью в финансовом учете. Сначала устанавливают, исполнено ли обязательство контрагентом и возник ли соответствующий объект учета. Регистры принятых обязательств и регистры начисленной задолженности решают разные задачи.</w:t>
      </w:r>
    </w:p>
    <w:p w:rsidR="00EA02CE" w:rsidRDefault="00FC45CE">
      <w:pPr>
        <w:pStyle w:val="1"/>
        <w:keepNext/>
      </w:pPr>
      <w:r>
        <w:rPr>
          <w:rFonts w:ascii="Times New Roman" w:eastAsia="Times New Roman" w:hAnsi="Times New Roman" w:cs="Times New Roman"/>
          <w:lang w:val="ru-RU"/>
        </w:rPr>
        <w:t>3 Кассовый подход и метод начисления</w:t>
      </w:r>
    </w:p>
    <w:p w:rsidR="00EA02CE" w:rsidRDefault="00FC45CE">
      <w:pPr>
        <w:jc w:val="both"/>
      </w:pPr>
      <w:r>
        <w:rPr>
          <w:rFonts w:eastAsia="Times New Roman" w:cs="Times New Roman"/>
          <w:b/>
          <w:lang w:val="ru-RU"/>
        </w:rPr>
        <w:t>Кассовый показатель</w:t>
      </w:r>
      <w:r>
        <w:rPr>
          <w:rFonts w:eastAsia="Times New Roman" w:cs="Times New Roman"/>
          <w:lang w:val="ru-RU"/>
        </w:rPr>
        <w:t xml:space="preserve"> описывает движение денег. </w:t>
      </w:r>
      <w:r>
        <w:rPr>
          <w:rFonts w:eastAsia="Times New Roman" w:cs="Times New Roman"/>
          <w:b/>
          <w:lang w:val="ru-RU"/>
        </w:rPr>
        <w:t>Показатель по начислению</w:t>
      </w:r>
      <w:r>
        <w:rPr>
          <w:rFonts w:eastAsia="Times New Roman" w:cs="Times New Roman"/>
          <w:lang w:val="ru-RU"/>
        </w:rPr>
        <w:t xml:space="preserve"> описывает возникновение экономического события. Это два ракурса одной деятельности. Для управления бюджетом нужно знать, сколько денег перечислено, а для оценки состояния учреждения — сколько ресурсов потреблено и сколько долгов осталось. Один показатель не заменяет другой.</w:t>
      </w:r>
    </w:p>
    <w:p w:rsidR="00EA02CE" w:rsidRDefault="00FC45CE">
      <w:pPr>
        <w:jc w:val="both"/>
      </w:pPr>
      <w:r>
        <w:rPr>
          <w:rFonts w:eastAsia="Times New Roman" w:cs="Times New Roman"/>
          <w:lang w:val="ru-RU"/>
        </w:rPr>
        <w:t>Рассмотрим оплату годовой услуги вперед. Перечисление всей суммы создает кассовый отток сразу, но услуга потребляется в течение периода. В финансовом учете сначала может возникнуть предоплата, затем соответствующая часть переносится в расход. Обратная ситуация — полученная, но не оплаченная коммунальная услуга: кассового оттока пока нет, однако задолженность и расход уже требуют отражения.</w:t>
      </w:r>
    </w:p>
    <w:p w:rsidR="00EA02CE" w:rsidRDefault="00FC45CE">
      <w:pPr>
        <w:jc w:val="both"/>
      </w:pPr>
      <w:r>
        <w:rPr>
          <w:rFonts w:eastAsia="Times New Roman" w:cs="Times New Roman"/>
          <w:lang w:val="ru-RU"/>
        </w:rPr>
        <w:t>Покупка оборудования особенно ясно показывает разницу. Платеж относится к приобретению долгосрочного ресурса. В учете признается актив, а его стоимость переносится в расходы по установленным правилам амортизации и при иных предусмотренных основаниях. Если всю покупку одновременно признать текущим расходом и далее начислять амортизацию, результат будет искажен.</w:t>
      </w:r>
    </w:p>
    <w:p>
      <w:pPr>
        <w:pStyle w:val="21"/>
        <w:keepNext/>
      </w:pPr>
      <w:r>
        <w:rPr>
          <w:rFonts w:ascii="Times New Roman" w:hAnsi="Times New Roman"/>
          <w:b/>
          <w:sz w:val="24"/>
        </w:rPr>
        <w:t>Бюджетная информация по МСФО ОС 24</w:t>
      </w:r>
    </w:p>
    <w:p>
      <w:pPr>
        <w:keepNext w:val="0"/>
        <w:jc w:val="both"/>
      </w:pPr>
      <w:r>
        <w:rPr>
          <w:rFonts w:eastAsia="Times New Roman" w:cs="Times New Roman"/>
          <w:lang w:val="ru-RU"/>
        </w:rPr>
        <w:t>МСФО ОС 24 применяется к организациям, составляющим финансовую отчетность методом начисления и публикующим утвержденный бюджет. Он предусматривает сопоставление первоначального бюджета, окончательного бюджета и фактических сумм на сопоставимой основе. Первоначальный бюджет — исходно утвержденный план; окончательный учитывает законно оформленные изменения в течение периода. Существенные отклонения объясняют по причинам и влиянию на выполнение программы. [М24]</w:t>
      </w:r>
    </w:p>
    <w:p>
      <w:pPr>
        <w:keepNext w:val="0"/>
        <w:jc w:val="both"/>
      </w:pPr>
      <w:r>
        <w:rPr>
          <w:rFonts w:eastAsia="Times New Roman" w:cs="Times New Roman"/>
          <w:lang w:val="ru-RU"/>
        </w:rPr>
        <w:t>Сопоставимость означает одинаковые метод учета, период, состав организаций и классификацию. Если бюджет подготовлен по кассовой основе, его исполнение нельзя напрямую сравнивать с расходами по начислению. Различия между фактическими бюджетными суммами и сопоставимыми показателями финансовой отчетности раскрывают через сверку учетной основы, временных границ и состава отчетной единицы. [М24]</w:t>
      </w:r>
    </w:p>
    <w:p>
      <w:pPr>
        <w:keepNext w:val="0"/>
        <w:jc w:val="both"/>
      </w:pPr>
      <w:r>
        <w:rPr>
          <w:rFonts w:eastAsia="Times New Roman" w:cs="Times New Roman"/>
          <w:lang w:val="ru-RU"/>
        </w:rPr>
        <w:t>Пример: окончательный кассовый план — 1 000 тыс. тенге, выплачено 900. Из выплат 100 — аванс за следующий период; одновременно получены, но не оплачены услуги текущего периода на 80. При отсутствии иных операций расходы по начислению составляют 900 − 100 + 80 = 880. Кассовое неисполнение равно 100; отклонение расходов от плана равно 120, но этот второй показатель рассчитан на другой основе и требует отдельного объяснения.</w:t>
      </w:r>
    </w:p>
    <w:p w:rsidR="00EA02CE" w:rsidRDefault="00FC45CE">
      <w:pPr>
        <w:pStyle w:val="1"/>
        <w:keepNext/>
      </w:pPr>
      <w:r>
        <w:rPr>
          <w:rFonts w:ascii="Times New Roman" w:eastAsia="Times New Roman" w:hAnsi="Times New Roman" w:cs="Times New Roman"/>
          <w:lang w:val="ru-RU"/>
        </w:rPr>
        <w:t>4 Роль казначейского исполнения</w:t>
      </w:r>
    </w:p>
    <w:p w:rsidR="00EA02CE" w:rsidRDefault="00FC45CE">
      <w:pPr>
        <w:jc w:val="both"/>
      </w:pPr>
      <w:r>
        <w:rPr>
          <w:rFonts w:eastAsia="Times New Roman" w:cs="Times New Roman"/>
          <w:lang w:val="ru-RU"/>
        </w:rPr>
        <w:t>Казначейство обслуживает исполнение бюджета в установленном порядке. Учреждение готовит сведения, необходимые для регистрации и платежа; проверяются предусмотренные процедурой параметры. Кассовое обслуживание не отменяет обязанности самого учреждения подтвердить реальность закупки, целевое назначение и правильность бухгалтерской записи.</w:t>
      </w:r>
    </w:p>
    <w:p w:rsidR="00EA02CE" w:rsidRDefault="00FC45CE">
      <w:pPr>
        <w:jc w:val="both"/>
      </w:pPr>
      <w:r>
        <w:rPr>
          <w:rFonts w:eastAsia="Times New Roman" w:cs="Times New Roman"/>
          <w:lang w:val="ru-RU"/>
        </w:rPr>
        <w:t>Для бухгалтера важна согласованность договора, программы, экономического назначения, суммы и реквизитов получателя. Например, поставщик может быть указан верно, но платеж ошибочно отнесен на другую программу. В денежной выписке общая сумма будет правильной, а аналитическая информация об исполнении конкретной задачи — искаженной.</w:t>
      </w:r>
    </w:p>
    <w:p w:rsidR="00EA02CE" w:rsidRDefault="00FC45CE">
      <w:pPr>
        <w:jc w:val="both"/>
      </w:pPr>
      <w:r>
        <w:rPr>
          <w:rFonts w:eastAsia="Times New Roman" w:cs="Times New Roman"/>
          <w:lang w:val="ru-RU"/>
        </w:rPr>
        <w:t>Работа с казначейской выпиской начинается со сверки даты, суммы, назначения и идентификатора платежа с учетным регистром. Несоответствие рассматривают по существу: задержка обмена данными, возврат платежа, неверный код или двойная запись требуют разных исправлений. Подгонка регистра под выписку без выяснения причины создает новую ошибку.</w:t>
      </w:r>
    </w:p>
    <w:p>
      <w:pPr>
        <w:keepNext w:val="0"/>
        <w:jc w:val="both"/>
      </w:pPr>
      <w:r>
        <w:rPr>
          <w:rFonts w:eastAsia="Times New Roman" w:cs="Times New Roman"/>
          <w:lang w:val="ru-RU"/>
        </w:rPr>
        <w:t>Счета 1080 и 1090 отражают плановые назначения на принятие обязательств в установленной системе учета республиканского и местных бюджетов. Они не являются обычными денежными счетами. Субсчета текущей деятельности, капитальных вложений, трансфертов и иных направлений выбираются по назначению операции. Записи по начисленной кредиторской задолженности ведутся отдельно от контроля неисполненных договоров. [Н4, Н20]</w:t>
      </w:r>
    </w:p>
    <w:p w:rsidR="00EA02CE" w:rsidRDefault="00FC45CE">
      <w:pPr>
        <w:pStyle w:val="1"/>
        <w:keepNext/>
      </w:pPr>
      <w:r>
        <w:rPr>
          <w:rFonts w:ascii="Times New Roman" w:eastAsia="Times New Roman" w:hAnsi="Times New Roman" w:cs="Times New Roman"/>
          <w:lang w:val="ru-RU"/>
        </w:rPr>
        <w:t>5 Сквозной пример контроля обязательств</w:t>
      </w:r>
    </w:p>
    <w:p w:rsidR="00EA02CE" w:rsidRDefault="00FC45CE">
      <w:pPr>
        <w:jc w:val="both"/>
      </w:pPr>
      <w:r>
        <w:rPr>
          <w:rFonts w:eastAsia="Times New Roman" w:cs="Times New Roman"/>
          <w:lang w:val="ru-RU"/>
        </w:rPr>
        <w:t>Условному учреждению на направление деятельности утверждено 5 000 тыс. тенге. Заключены и зарегистрированы договоры на 4 500. Товары и услуги приняты на 4 100. По принятым поставкам перечислено 3 600. На начало периода обязательств и авансов не было; все указанные платежи относятся к этим поставкам.</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0" w:type="dxa"/>
          <w:bottom w:w="65" w:type="dxa"/>
          <w:right w:w="90" w:type="dxa"/>
        </w:tblCellMar>
        <w:tblLook w:val="04A0" w:firstRow="1" w:lastRow="0" w:firstColumn="1" w:lastColumn="0" w:noHBand="0" w:noVBand="1"/>
      </w:tblPr>
      <w:tblGrid>
        <w:gridCol w:w="6066"/>
        <w:gridCol w:w="1701"/>
        <w:gridCol w:w="1701"/>
      </w:tblGrid>
      <w:tr w:rsidR="00EA02CE">
        <w:trPr>
          <w:cantSplit/>
          <w:tblHeader/>
          <w:jc w:val="center"/>
        </w:trPr>
        <w:tc>
          <w:tcPr>
            <w:tcW w:w="6066" w:type="dxa"/>
            <w:shd w:val="clear" w:color="auto" w:fill="E8EFF5"/>
            <w:vAlign w:val="center"/>
          </w:tcPr>
          <w:p w:rsidR="00EA02CE" w:rsidRDefault="00FC45CE">
            <w:pPr>
              <w:keepNext/>
              <w:spacing w:after="0" w:line="240" w:lineRule="auto"/>
              <w:ind w:firstLine="0"/>
            </w:pPr>
            <w:r>
              <w:rPr>
                <w:rFonts w:eastAsia="Times New Roman" w:cs="Times New Roman"/>
                <w:b/>
                <w:sz w:val="21"/>
                <w:lang w:val="ru-RU"/>
              </w:rPr>
              <w:t>Показатель</w:t>
            </w:r>
          </w:p>
        </w:tc>
        <w:tc>
          <w:tcPr>
            <w:tcW w:w="1701" w:type="dxa"/>
            <w:shd w:val="clear" w:color="auto" w:fill="E8EFF5"/>
            <w:vAlign w:val="center"/>
          </w:tcPr>
          <w:p w:rsidR="00EA02CE" w:rsidRDefault="00FC45CE">
            <w:pPr>
              <w:keepNext/>
              <w:spacing w:after="0" w:line="240" w:lineRule="auto"/>
              <w:ind w:firstLine="0"/>
              <w:jc w:val="center"/>
            </w:pPr>
            <w:r>
              <w:rPr>
                <w:rFonts w:eastAsia="Times New Roman" w:cs="Times New Roman"/>
                <w:b/>
                <w:sz w:val="21"/>
                <w:lang w:val="ru-RU"/>
              </w:rPr>
              <w:t>Расчет</w:t>
            </w:r>
          </w:p>
        </w:tc>
        <w:tc>
          <w:tcPr>
            <w:tcW w:w="1701" w:type="dxa"/>
            <w:shd w:val="clear" w:color="auto" w:fill="E8EFF5"/>
            <w:vAlign w:val="center"/>
          </w:tcPr>
          <w:p w:rsidR="00EA02CE" w:rsidRDefault="00FC45CE">
            <w:pPr>
              <w:keepNext/>
              <w:spacing w:after="0" w:line="240" w:lineRule="auto"/>
              <w:ind w:firstLine="0"/>
              <w:jc w:val="center"/>
            </w:pPr>
            <w:r>
              <w:rPr>
                <w:rFonts w:eastAsia="Times New Roman" w:cs="Times New Roman"/>
                <w:b/>
                <w:sz w:val="21"/>
                <w:lang w:val="ru-RU"/>
              </w:rPr>
              <w:t>Сумма</w:t>
            </w:r>
          </w:p>
        </w:tc>
      </w:tr>
      <w:tr w:rsidR="00EA02CE">
        <w:trPr>
          <w:cantSplit/>
          <w:jc w:val="center"/>
        </w:trPr>
        <w:tc>
          <w:tcPr>
            <w:tcW w:w="6066" w:type="dxa"/>
            <w:vAlign w:val="center"/>
          </w:tcPr>
          <w:p w:rsidR="00EA02CE" w:rsidRDefault="00FC45CE">
            <w:pPr>
              <w:keepNext/>
              <w:spacing w:after="0" w:line="240" w:lineRule="auto"/>
              <w:ind w:firstLine="0"/>
            </w:pPr>
            <w:r>
              <w:rPr>
                <w:rFonts w:eastAsia="Times New Roman" w:cs="Times New Roman"/>
                <w:sz w:val="21"/>
                <w:lang w:val="ru-RU"/>
              </w:rPr>
              <w:t>Остаток возможности принять новые обязательства</w:t>
            </w:r>
          </w:p>
        </w:tc>
        <w:tc>
          <w:tcPr>
            <w:tcW w:w="1701" w:type="dxa"/>
            <w:vAlign w:val="center"/>
          </w:tcPr>
          <w:p w:rsidR="00EA02CE" w:rsidRDefault="00FC45CE">
            <w:pPr>
              <w:keepNext/>
              <w:spacing w:after="0" w:line="240" w:lineRule="auto"/>
              <w:ind w:firstLine="0"/>
              <w:jc w:val="center"/>
            </w:pPr>
            <w:r>
              <w:rPr>
                <w:rFonts w:eastAsia="Times New Roman" w:cs="Times New Roman"/>
                <w:sz w:val="21"/>
                <w:lang w:val="ru-RU"/>
              </w:rPr>
              <w:t>5 000 − 4 500</w:t>
            </w:r>
          </w:p>
        </w:tc>
        <w:tc>
          <w:tcPr>
            <w:tcW w:w="1701" w:type="dxa"/>
            <w:vAlign w:val="center"/>
          </w:tcPr>
          <w:p w:rsidR="00EA02CE" w:rsidRDefault="00FC45CE">
            <w:pPr>
              <w:keepNext/>
              <w:spacing w:after="0" w:line="240" w:lineRule="auto"/>
              <w:ind w:firstLine="0"/>
              <w:jc w:val="center"/>
            </w:pPr>
            <w:r>
              <w:rPr>
                <w:rFonts w:eastAsia="Times New Roman" w:cs="Times New Roman"/>
                <w:sz w:val="21"/>
                <w:lang w:val="ru-RU"/>
              </w:rPr>
              <w:t>500</w:t>
            </w:r>
          </w:p>
        </w:tc>
      </w:tr>
      <w:tr w:rsidR="00EA02CE">
        <w:trPr>
          <w:cantSplit/>
          <w:jc w:val="center"/>
        </w:trPr>
        <w:tc>
          <w:tcPr>
            <w:tcW w:w="6066" w:type="dxa"/>
            <w:vAlign w:val="center"/>
          </w:tcPr>
          <w:p w:rsidR="00EA02CE" w:rsidRDefault="00FC45CE">
            <w:pPr>
              <w:keepNext/>
              <w:spacing w:after="0" w:line="240" w:lineRule="auto"/>
              <w:ind w:firstLine="0"/>
            </w:pPr>
            <w:r>
              <w:rPr>
                <w:rFonts w:eastAsia="Times New Roman" w:cs="Times New Roman"/>
                <w:sz w:val="21"/>
                <w:lang w:val="ru-RU"/>
              </w:rPr>
              <w:t>Договоры в части еще не исполненных поставок</w:t>
            </w:r>
          </w:p>
        </w:tc>
        <w:tc>
          <w:tcPr>
            <w:tcW w:w="1701" w:type="dxa"/>
            <w:vAlign w:val="center"/>
          </w:tcPr>
          <w:p w:rsidR="00EA02CE" w:rsidRDefault="00FC45CE">
            <w:pPr>
              <w:keepNext/>
              <w:spacing w:after="0" w:line="240" w:lineRule="auto"/>
              <w:ind w:firstLine="0"/>
              <w:jc w:val="center"/>
            </w:pPr>
            <w:r>
              <w:rPr>
                <w:rFonts w:eastAsia="Times New Roman" w:cs="Times New Roman"/>
                <w:sz w:val="21"/>
                <w:lang w:val="ru-RU"/>
              </w:rPr>
              <w:t>4 500 − 4 100</w:t>
            </w:r>
          </w:p>
        </w:tc>
        <w:tc>
          <w:tcPr>
            <w:tcW w:w="1701" w:type="dxa"/>
            <w:vAlign w:val="center"/>
          </w:tcPr>
          <w:p w:rsidR="00EA02CE" w:rsidRDefault="00FC45CE">
            <w:pPr>
              <w:keepNext/>
              <w:spacing w:after="0" w:line="240" w:lineRule="auto"/>
              <w:ind w:firstLine="0"/>
              <w:jc w:val="center"/>
            </w:pPr>
            <w:r>
              <w:rPr>
                <w:rFonts w:eastAsia="Times New Roman" w:cs="Times New Roman"/>
                <w:sz w:val="21"/>
                <w:lang w:val="ru-RU"/>
              </w:rPr>
              <w:t>400</w:t>
            </w:r>
          </w:p>
        </w:tc>
      </w:tr>
      <w:tr w:rsidR="00EA02CE">
        <w:trPr>
          <w:cantSplit/>
          <w:jc w:val="center"/>
        </w:trPr>
        <w:tc>
          <w:tcPr>
            <w:tcW w:w="6066" w:type="dxa"/>
            <w:vAlign w:val="center"/>
          </w:tcPr>
          <w:p w:rsidR="00EA02CE" w:rsidRDefault="00FC45CE">
            <w:pPr>
              <w:keepNext/>
              <w:spacing w:after="0" w:line="240" w:lineRule="auto"/>
              <w:ind w:firstLine="0"/>
            </w:pPr>
            <w:r>
              <w:rPr>
                <w:rFonts w:eastAsia="Times New Roman" w:cs="Times New Roman"/>
                <w:sz w:val="21"/>
                <w:lang w:val="ru-RU"/>
              </w:rPr>
              <w:t>Принятая но не оплаченная поставка</w:t>
            </w:r>
          </w:p>
        </w:tc>
        <w:tc>
          <w:tcPr>
            <w:tcW w:w="1701" w:type="dxa"/>
            <w:vAlign w:val="center"/>
          </w:tcPr>
          <w:p w:rsidR="00EA02CE" w:rsidRDefault="00FC45CE">
            <w:pPr>
              <w:keepNext/>
              <w:spacing w:after="0" w:line="240" w:lineRule="auto"/>
              <w:ind w:firstLine="0"/>
              <w:jc w:val="center"/>
            </w:pPr>
            <w:r>
              <w:rPr>
                <w:rFonts w:eastAsia="Times New Roman" w:cs="Times New Roman"/>
                <w:sz w:val="21"/>
                <w:lang w:val="ru-RU"/>
              </w:rPr>
              <w:t>4 100 − 3 600</w:t>
            </w:r>
          </w:p>
        </w:tc>
        <w:tc>
          <w:tcPr>
            <w:tcW w:w="1701" w:type="dxa"/>
            <w:vAlign w:val="center"/>
          </w:tcPr>
          <w:p w:rsidR="00EA02CE" w:rsidRDefault="00FC45CE">
            <w:pPr>
              <w:keepNext/>
              <w:spacing w:after="0" w:line="240" w:lineRule="auto"/>
              <w:ind w:firstLine="0"/>
              <w:jc w:val="center"/>
            </w:pPr>
            <w:r>
              <w:rPr>
                <w:rFonts w:eastAsia="Times New Roman" w:cs="Times New Roman"/>
                <w:sz w:val="21"/>
                <w:lang w:val="ru-RU"/>
              </w:rPr>
              <w:t>500</w:t>
            </w:r>
          </w:p>
        </w:tc>
      </w:tr>
      <w:tr w:rsidR="00EA02CE">
        <w:trPr>
          <w:cantSplit/>
          <w:jc w:val="center"/>
        </w:trPr>
        <w:tc>
          <w:tcPr>
            <w:tcW w:w="6066" w:type="dxa"/>
            <w:vAlign w:val="center"/>
          </w:tcPr>
          <w:p w:rsidR="00EA02CE" w:rsidRDefault="00FC45CE">
            <w:pPr>
              <w:keepNext w:val="0"/>
              <w:spacing w:after="0" w:line="240" w:lineRule="auto"/>
              <w:ind w:firstLine="0"/>
            </w:pPr>
            <w:r>
              <w:rPr>
                <w:rFonts w:eastAsia="Times New Roman" w:cs="Times New Roman"/>
                <w:sz w:val="21"/>
                <w:lang w:val="ru-RU"/>
              </w:rPr>
              <w:t>Превышение плана над кассовыми платежами</w:t>
            </w:r>
          </w:p>
        </w:tc>
        <w:tc>
          <w:tcPr>
            <w:tcW w:w="1701" w:type="dxa"/>
            <w:vAlign w:val="center"/>
          </w:tcPr>
          <w:p w:rsidR="00EA02CE" w:rsidRDefault="00FC45CE">
            <w:pPr>
              <w:keepNext w:val="0"/>
              <w:spacing w:after="0" w:line="240" w:lineRule="auto"/>
              <w:ind w:firstLine="0"/>
              <w:jc w:val="center"/>
            </w:pPr>
            <w:r>
              <w:rPr>
                <w:rFonts w:eastAsia="Times New Roman" w:cs="Times New Roman"/>
                <w:sz w:val="21"/>
                <w:lang w:val="ru-RU"/>
              </w:rPr>
              <w:t>5 000 − 3 600</w:t>
            </w:r>
          </w:p>
        </w:tc>
        <w:tc>
          <w:tcPr>
            <w:tcW w:w="1701" w:type="dxa"/>
            <w:vAlign w:val="center"/>
          </w:tcPr>
          <w:p w:rsidR="00EA02CE" w:rsidRDefault="00FC45CE">
            <w:pPr>
              <w:keepNext w:val="0"/>
              <w:spacing w:after="0" w:line="240" w:lineRule="auto"/>
              <w:ind w:firstLine="0"/>
              <w:jc w:val="center"/>
            </w:pPr>
            <w:r>
              <w:rPr>
                <w:rFonts w:eastAsia="Times New Roman" w:cs="Times New Roman"/>
                <w:sz w:val="21"/>
                <w:lang w:val="ru-RU"/>
              </w:rPr>
              <w:t>1 400</w:t>
            </w:r>
          </w:p>
        </w:tc>
      </w:tr>
    </w:tbl>
    <w:p w:rsidR="00EA02CE" w:rsidRDefault="00EA02CE">
      <w:pPr>
        <w:spacing w:line="20" w:lineRule="exact"/>
        <w:ind w:firstLine="0"/>
      </w:pPr>
    </w:p>
    <w:p w:rsidR="00EA02CE" w:rsidRDefault="00FC45CE">
      <w:pPr>
        <w:jc w:val="both"/>
      </w:pPr>
      <w:r>
        <w:rPr>
          <w:rFonts w:eastAsia="Times New Roman" w:cs="Times New Roman"/>
          <w:lang w:val="ru-RU"/>
        </w:rPr>
        <w:t>Сумма 1 400 не является полностью свободным ресурсом: в ней уже присутствуют 500 начисленной задолженности и 400 будущих поставок по заключенным договорам. Только оставшиеся 500 в рамках условий примера соответствуют еще не принятой части планового объема. Для реального решения дополнительно проверяются ограничения программы, специфика и помесячный график.</w:t>
      </w:r>
    </w:p>
    <w:p w:rsidR="00EA02CE" w:rsidRDefault="00FC45CE">
      <w:pPr>
        <w:jc w:val="both"/>
      </w:pPr>
      <w:r>
        <w:rPr>
          <w:rFonts w:eastAsia="Times New Roman" w:cs="Times New Roman"/>
          <w:lang w:val="ru-RU"/>
        </w:rPr>
        <w:t>Если все 4 100 отнести к расходам, можно ошибиться: часть поставок может быть запасами на складе или основными средствами. Условие примера позволяет определить начисленную задолженность, но не дает права без анализа утверждать, что сумма расходов по начислению также равна 4 100. Для этого нужна классификация полученных ресурсов.</w:t>
      </w:r>
    </w:p>
    <w:p w:rsidR="00EA02CE" w:rsidRDefault="00FC45CE">
      <w:pPr>
        <w:pStyle w:val="1"/>
        <w:keepNext/>
      </w:pPr>
      <w:r>
        <w:rPr>
          <w:rFonts w:ascii="Times New Roman" w:eastAsia="Times New Roman" w:hAnsi="Times New Roman" w:cs="Times New Roman"/>
          <w:lang w:val="ru-RU"/>
        </w:rPr>
        <w:t>6 Проверка отклонений и управленческое решение</w:t>
      </w:r>
    </w:p>
    <w:p w:rsidR="00EA02CE" w:rsidRDefault="00FC45CE">
      <w:pPr>
        <w:jc w:val="both"/>
      </w:pPr>
      <w:r>
        <w:rPr>
          <w:rFonts w:eastAsia="Times New Roman" w:cs="Times New Roman"/>
          <w:lang w:val="ru-RU"/>
        </w:rPr>
        <w:t>Исполнение по платежам ниже плана может объясняться экономией, переносом поставки, несвоевременным заключением договора или отсутствием приемочных документов. Только первая причина непосредственно указывает на возможное снижение цены при сохранении результата. Поэтому отчет «освоено 72 процента» нужно раскрывать через реальную стадию исполнения.</w:t>
      </w:r>
    </w:p>
    <w:p w:rsidR="00EA02CE" w:rsidRDefault="00FC45CE">
      <w:pPr>
        <w:jc w:val="both"/>
      </w:pPr>
      <w:r>
        <w:rPr>
          <w:rFonts w:eastAsia="Times New Roman" w:cs="Times New Roman"/>
          <w:lang w:val="ru-RU"/>
        </w:rPr>
        <w:t>Платежный календарь соединяет ожидаемые поступления и назначенные платежи с датами исполнения договоров. В него включают задолженность, авансы, обязательные выплаты и возможные возвраты. Стрессовый вариант показывает последствия задержки поступления или переноса поставки. Его задача — заранее выявить риск, а не оформить уже возникшую просрочку.</w:t>
      </w:r>
    </w:p>
    <w:p w:rsidR="00EA02CE" w:rsidRDefault="00FC45CE">
      <w:pPr>
        <w:pStyle w:val="1"/>
        <w:keepNext/>
      </w:pPr>
      <w:r>
        <w:rPr>
          <w:rFonts w:ascii="Times New Roman" w:eastAsia="Times New Roman" w:hAnsi="Times New Roman" w:cs="Times New Roman"/>
          <w:lang w:val="ru-RU"/>
        </w:rPr>
        <w:t>Частые ошибки</w:t>
      </w:r>
    </w:p>
    <w:p w:rsidR="00EA02CE" w:rsidRDefault="00FC45CE">
      <w:pPr>
        <w:pStyle w:val="a0"/>
        <w:ind w:left="510" w:hanging="170"/>
        <w:jc w:val="both"/>
      </w:pPr>
      <w:r>
        <w:rPr>
          <w:rFonts w:eastAsia="Times New Roman" w:cs="Times New Roman"/>
          <w:lang w:val="ru-RU"/>
        </w:rPr>
        <w:t>Приравнивать утвержденный план к свободным деньгам на банковском счете.</w:t>
      </w:r>
    </w:p>
    <w:p w:rsidR="00EA02CE" w:rsidRDefault="00FC45CE">
      <w:pPr>
        <w:pStyle w:val="a0"/>
        <w:ind w:left="510" w:hanging="170"/>
        <w:jc w:val="both"/>
      </w:pPr>
      <w:r>
        <w:rPr>
          <w:rFonts w:eastAsia="Times New Roman" w:cs="Times New Roman"/>
          <w:lang w:val="ru-RU"/>
        </w:rPr>
        <w:t>Считать всю сумму договора расходом в момент подписания.</w:t>
      </w:r>
    </w:p>
    <w:p w:rsidR="00EA02CE" w:rsidRDefault="00FC45CE">
      <w:pPr>
        <w:pStyle w:val="a0"/>
        <w:ind w:left="510" w:hanging="170"/>
        <w:jc w:val="both"/>
      </w:pPr>
      <w:r>
        <w:rPr>
          <w:rFonts w:eastAsia="Times New Roman" w:cs="Times New Roman"/>
          <w:lang w:val="ru-RU"/>
        </w:rPr>
        <w:t>Принимать разницу между планом и платежом за безусловную экономию.</w:t>
      </w:r>
    </w:p>
    <w:p w:rsidR="00EA02CE" w:rsidRDefault="00FC45CE">
      <w:pPr>
        <w:pStyle w:val="a0"/>
        <w:ind w:left="510" w:hanging="170"/>
        <w:jc w:val="both"/>
      </w:pPr>
      <w:r>
        <w:rPr>
          <w:rFonts w:eastAsia="Times New Roman" w:cs="Times New Roman"/>
          <w:lang w:val="ru-RU"/>
        </w:rPr>
        <w:t>Учитывать полученную услугу только после ее оплаты.</w:t>
      </w:r>
    </w:p>
    <w:p w:rsidR="00EA02CE" w:rsidRDefault="00FC45CE">
      <w:pPr>
        <w:pStyle w:val="1"/>
        <w:keepNext/>
      </w:pPr>
      <w:r>
        <w:rPr>
          <w:rFonts w:ascii="Times New Roman" w:eastAsia="Times New Roman" w:hAnsi="Times New Roman" w:cs="Times New Roman"/>
          <w:lang w:val="ru-RU"/>
        </w:rPr>
        <w:t>Вопросы для обсуждения</w:t>
      </w:r>
    </w:p>
    <w:p w:rsidR="00EA02CE" w:rsidRDefault="00FC45CE">
      <w:pPr>
        <w:jc w:val="both"/>
      </w:pPr>
      <w:r>
        <w:rPr>
          <w:rFonts w:eastAsia="Times New Roman" w:cs="Times New Roman"/>
          <w:lang w:val="ru-RU"/>
        </w:rPr>
        <w:t>1. Почему графики обязательств и платежей могут различаться?</w:t>
      </w:r>
    </w:p>
    <w:p w:rsidR="00EA02CE" w:rsidRDefault="00FC45CE">
      <w:pPr>
        <w:jc w:val="both"/>
      </w:pPr>
      <w:r>
        <w:rPr>
          <w:rFonts w:eastAsia="Times New Roman" w:cs="Times New Roman"/>
          <w:lang w:val="ru-RU"/>
        </w:rPr>
        <w:t>2. Какие документы подтверждают исполнение поставщиком?</w:t>
      </w:r>
    </w:p>
    <w:p w:rsidR="00EA02CE" w:rsidRDefault="00FC45CE">
      <w:pPr>
        <w:jc w:val="both"/>
      </w:pPr>
      <w:r>
        <w:rPr>
          <w:rFonts w:eastAsia="Times New Roman" w:cs="Times New Roman"/>
          <w:lang w:val="ru-RU"/>
        </w:rPr>
        <w:t>3. Почему все принятые поставки не обязательно становятся расходами периода?</w:t>
      </w:r>
    </w:p>
    <w:p w:rsidR="00EA02CE" w:rsidRDefault="00FC45CE">
      <w:pPr>
        <w:jc w:val="both"/>
      </w:pPr>
      <w:r>
        <w:rPr>
          <w:rFonts w:eastAsia="Times New Roman" w:cs="Times New Roman"/>
          <w:lang w:val="ru-RU"/>
        </w:rPr>
        <w:t>4. Что нельзя установить только по казначейской выписке?</w:t>
      </w:r>
    </w:p>
    <w:p w:rsidR="00EA02CE" w:rsidRDefault="00FC45CE">
      <w:pPr>
        <w:jc w:val="both"/>
      </w:pPr>
      <w:r>
        <w:rPr>
          <w:rFonts w:eastAsia="Times New Roman" w:cs="Times New Roman"/>
          <w:lang w:val="ru-RU"/>
        </w:rPr>
        <w:t>5. Какие данные нужны для объяснения низкого кассового исполнения?</w:t>
      </w:r>
    </w:p>
    <w:p>
      <w:pPr>
        <w:pStyle w:val="1"/>
        <w:keepNext/>
      </w:pPr>
      <w:r>
        <w:rPr>
          <w:rFonts w:ascii="Times New Roman" w:hAnsi="Times New Roman"/>
          <w:b/>
          <w:sz w:val="24"/>
        </w:rPr>
        <w:t>Самопроверка</w:t>
      </w:r>
    </w:p>
    <w:p>
      <w:pPr>
        <w:keepNext w:val="0"/>
        <w:jc w:val="both"/>
      </w:pPr>
      <w:r>
        <w:rPr>
          <w:rFonts w:eastAsia="Times New Roman" w:cs="Times New Roman"/>
          <w:lang w:val="ru-RU"/>
        </w:rPr>
        <w:t>Утвержден объем 2 000 тыс. тенге, заключены договоры на 1 700, приняты поставки на 1 400, оплачено 1 100. Начальных остатков и авансов нет. Определите непринятую часть назначений, будущие поставки и кредиторскую задолженность.</w:t>
      </w:r>
    </w:p>
    <w:p>
      <w:pPr>
        <w:keepNext w:val="0"/>
        <w:jc w:val="both"/>
      </w:pPr>
      <w:r>
        <w:rPr>
          <w:rFonts w:eastAsia="Times New Roman" w:cs="Times New Roman"/>
          <w:lang w:val="ru-RU"/>
        </w:rPr>
        <w:t>Ответ. Непринятая часть назначений — 300; будущие поставки по договорам — 300; задолженность за принятые поставки — 300. Разность между планом и платежами 900 включает все три суммы и не является целиком свободным ресурсом.</w:t>
      </w:r>
    </w:p>
    <w:p w:rsidR="00EA02CE" w:rsidRDefault="00FC45CE">
      <w:pPr>
        <w:pStyle w:val="1"/>
        <w:keepNext/>
      </w:pPr>
      <w:bookmarkStart w:id="0" w:name="_GoBack"/>
      <w:bookmarkEnd w:id="0"/>
      <w:r>
        <w:rPr>
          <w:rFonts w:ascii="Times New Roman" w:eastAsia="Times New Roman" w:hAnsi="Times New Roman" w:cs="Times New Roman"/>
          <w:lang w:val="ru-RU"/>
        </w:rPr>
        <w:t>Литература и нормативные источники</w:t>
      </w:r>
    </w:p>
    <w:p>
      <w:pPr>
        <w:spacing w:after="40"/>
      </w:pPr>
      <w:r>
        <w:t>НПА приведены в редакциях, действующих на 27 октября 2026 года. МСФО ОС — по материалам IPSASB; даты начала применения отдельных стандартов указаны в тексте.</w:t>
      </w:r>
    </w:p>
    <w:p>
      <w:pPr>
        <w:spacing w:after="40"/>
      </w:pPr>
      <w:r>
        <w:t xml:space="preserve">[Н1] </w:t>
      </w:r>
      <w:hyperlink r:id="rId8">
        <w:r>
          <w:rPr>
            <w:rFonts w:ascii="Times New Roman" w:hAnsi="Times New Roman"/>
            <w:sz w:val="24"/>
          </w:rPr>
          <w:t>Бюджетный кодекс Республики Казахстан от 15 марта 2025 года № 171-VIII, статьи 130–132.</w:t>
        </w:r>
      </w:hyperlink>
    </w:p>
    <w:p>
      <w:pPr>
        <w:spacing w:after="40"/>
      </w:pPr>
      <w:r>
        <w:t xml:space="preserve">[Н3] </w:t>
      </w:r>
      <w:hyperlink r:id="rId9">
        <w:r>
          <w:rPr>
            <w:rFonts w:ascii="Times New Roman" w:hAnsi="Times New Roman"/>
            <w:sz w:val="24"/>
          </w:rPr>
          <w:t>Приказ Министра финансов РК от 12 мая 2025 года № 223 «Об утверждении Правил ведения бухгалтерского учета в государственных учреждениях».</w:t>
        </w:r>
      </w:hyperlink>
    </w:p>
    <w:p>
      <w:pPr>
        <w:spacing w:after="40"/>
      </w:pPr>
      <w:r>
        <w:t xml:space="preserve">[Н4] </w:t>
      </w:r>
      <w:hyperlink r:id="rId14">
        <w:r>
          <w:rPr>
            <w:rFonts w:ascii="Times New Roman" w:hAnsi="Times New Roman"/>
            <w:sz w:val="24"/>
          </w:rPr>
          <w:t>Приказ Министра финансов РК от 16 апреля 2025 года № 170 «Об утверждении Плана счетов бухгалтерского учета государственных учреждений».</w:t>
        </w:r>
      </w:hyperlink>
    </w:p>
    <w:p>
      <w:pPr>
        <w:spacing w:after="40"/>
      </w:pPr>
      <w:r>
        <w:t xml:space="preserve">[Н6] </w:t>
      </w:r>
      <w:hyperlink r:id="rId10">
        <w:r>
          <w:rPr>
            <w:rFonts w:ascii="Times New Roman" w:hAnsi="Times New Roman"/>
            <w:sz w:val="24"/>
          </w:rPr>
          <w:t>Приказ Министра финансов РК от 27 июня 2025 года № 328 «Об утверждении процедур казначейского исполнения бюджета и его кассового обслуживания, казначейского учета и мониторинга».</w:t>
        </w:r>
      </w:hyperlink>
    </w:p>
    <w:p>
      <w:pPr>
        <w:spacing w:after="40"/>
      </w:pPr>
      <w:r>
        <w:t xml:space="preserve">[Н20] </w:t>
      </w:r>
      <w:hyperlink r:id="rId15">
        <w:r>
          <w:rPr>
            <w:rFonts w:ascii="Times New Roman" w:hAnsi="Times New Roman"/>
            <w:sz w:val="24"/>
          </w:rPr>
          <w:t>Приказ Министра финансов РК от 25 ноября 2025 года № 721 о внесении изменений в План счетов № 170, действующих с 1 января 2026 года.</w:t>
        </w:r>
      </w:hyperlink>
    </w:p>
    <w:p>
      <w:pPr>
        <w:spacing w:after="40"/>
      </w:pPr>
      <w:r>
        <w:t xml:space="preserve">[М2] </w:t>
      </w:r>
      <w:hyperlink r:id="rId16">
        <w:r>
          <w:rPr>
            <w:rFonts w:ascii="Times New Roman" w:hAnsi="Times New Roman"/>
            <w:sz w:val="24"/>
          </w:rPr>
          <w:t>МСФО ОС (IPSAS) 2 «Отчеты о движении денежных средств». IPSASB, редакция сборника 2026 года.</w:t>
        </w:r>
      </w:hyperlink>
    </w:p>
    <w:p>
      <w:pPr>
        <w:spacing w:after="40"/>
      </w:pPr>
      <w:r>
        <w:t xml:space="preserve">[М24] </w:t>
      </w:r>
      <w:hyperlink r:id="rId16">
        <w:r>
          <w:rPr>
            <w:rFonts w:ascii="Times New Roman" w:hAnsi="Times New Roman"/>
            <w:sz w:val="24"/>
          </w:rPr>
          <w:t>МСФО ОС (IPSAS) 24 «Представление бюджетной информации в финансовой отчетности». IPSASB, редакция сборника 2026 года.</w:t>
        </w:r>
      </w:hyperlink>
    </w:p>
    <w:p>
      <w:pPr>
        <w:spacing w:after="40"/>
      </w:pPr>
      <w:r>
        <w:t>Учебная литература: [Л1] и [Л5] в программе курса.</w:t>
      </w:r>
    </w:p>
    <w:sectPr w:rsidR="00EA02CE" w:rsidSect="00034616">
      <w:footerReference w:type="default" r:id="rId11"/>
      <w:pgSz w:w="11906" w:h="16838"/>
      <w:pgMar w:top="1134" w:right="1134" w:bottom="1134" w:left="130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0D0C" w:rsidRDefault="009C0D0C">
      <w:pPr>
        <w:spacing w:after="0" w:line="240" w:lineRule="auto"/>
      </w:pPr>
      <w:r>
        <w:separator/>
      </w:r>
    </w:p>
  </w:endnote>
  <w:endnote w:type="continuationSeparator" w:id="0">
    <w:p w:rsidR="009C0D0C" w:rsidRDefault="009C0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02CE" w:rsidRDefault="00FC45CE">
    <w:pPr>
      <w:pStyle w:val="a7"/>
      <w:jc w:val="right"/>
    </w:pPr>
    <w:r>
      <w:fldChar w:fldCharType="begin"/>
    </w:r>
    <w:r>
      <w:instrText>PAGE</w:instrText>
    </w:r>
    <w:r>
      <w:fldChar w:fldCharType="separate"/>
    </w:r>
    <w:r w:rsidR="009C0D0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0D0C" w:rsidRDefault="009C0D0C">
      <w:pPr>
        <w:spacing w:after="0" w:line="240" w:lineRule="auto"/>
      </w:pPr>
      <w:r>
        <w:separator/>
      </w:r>
    </w:p>
  </w:footnote>
  <w:footnote w:type="continuationSeparator" w:id="0">
    <w:p w:rsidR="009C0D0C" w:rsidRDefault="009C0D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9C0D0C"/>
    <w:rsid w:val="00AA1D8D"/>
    <w:rsid w:val="00B47730"/>
    <w:rsid w:val="00CB0664"/>
    <w:rsid w:val="00E22FE6"/>
    <w:rsid w:val="00EA02CE"/>
    <w:rsid w:val="00F455B9"/>
    <w:rsid w:val="00FC45C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D72B1A"/>
  <w14:defaultImageDpi w14:val="300"/>
  <w15:docId w15:val="{FFD156DC-560B-4CFF-9C72-530B90D40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80" w:line="264" w:lineRule="auto"/>
      <w:ind w:firstLine="709"/>
    </w:pPr>
    <w:rPr>
      <w:rFonts w:ascii="Times New Roman" w:hAnsi="Times New Roman"/>
      <w:color w:val="000000"/>
      <w:sz w:val="24"/>
    </w:rPr>
  </w:style>
  <w:style w:type="paragraph" w:styleId="1">
    <w:name w:val="heading 1"/>
    <w:basedOn w:val="a1"/>
    <w:next w:val="a1"/>
    <w:link w:val="10"/>
    <w:uiPriority w:val="9"/>
    <w:qFormat/>
    <w:rsid w:val="00FC693F"/>
    <w:pPr>
      <w:keepNext/>
      <w:keepLines/>
      <w:spacing w:before="160"/>
      <w:outlineLvl w:val="0"/>
    </w:pPr>
    <w:rPr>
      <w:rFonts w:asciiTheme="majorHAnsi" w:eastAsiaTheme="majorEastAsia" w:hAnsiTheme="majorHAnsi" w:cstheme="majorBidi"/>
      <w:b/>
      <w:bCs/>
      <w:szCs w:val="28"/>
    </w:rPr>
  </w:style>
  <w:style w:type="paragraph" w:styleId="21">
    <w:name w:val="heading 2"/>
    <w:basedOn w:val="a1"/>
    <w:next w:val="a1"/>
    <w:link w:val="22"/>
    <w:uiPriority w:val="9"/>
    <w:unhideWhenUsed/>
    <w:qFormat/>
    <w:rsid w:val="00FC693F"/>
    <w:pPr>
      <w:keepNext/>
      <w:keepLines/>
      <w:spacing w:before="16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contextualSpacing/>
    </w:pPr>
    <w:rPr>
      <w:rFonts w:asciiTheme="majorHAnsi" w:eastAsiaTheme="majorEastAsia" w:hAnsiTheme="majorHAnsi" w:cstheme="majorBidi"/>
      <w:b/>
      <w:spacing w:val="5"/>
      <w:kern w:val="28"/>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K250000017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adilet.zan.kz/rus/docs/G25E0000328" TargetMode="External"/><Relationship Id="rId4" Type="http://schemas.openxmlformats.org/officeDocument/2006/relationships/settings" Target="settings.xml"/><Relationship Id="rId9" Type="http://schemas.openxmlformats.org/officeDocument/2006/relationships/hyperlink" Target="https://adilet.zan.kz/rus/docs/G25E0000223" TargetMode="External"/><Relationship Id="rId14" Type="http://schemas.openxmlformats.org/officeDocument/2006/relationships/hyperlink" Target="https://adilet.zan.kz/rus/docs/G25E0000170" TargetMode="External"/><Relationship Id="rId15" Type="http://schemas.openxmlformats.org/officeDocument/2006/relationships/hyperlink" Target="https://adilet.zan.kz/rus/docs/G25E0000721" TargetMode="External"/><Relationship Id="rId16" Type="http://schemas.openxmlformats.org/officeDocument/2006/relationships/hyperlink" Target="https://www.ipsasb.org/publications/2026-handbook-international-public-sector-accounting-standards-board-pronounc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FB5CA9-8A7B-4BEC-B465-8A0DC80A3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1375</Words>
  <Characters>7841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Методология планирования и учета бюджетных средств</dc:title>
  <dc:subject>Бухгалтерский учет в бюджетных организациях</dc:subject>
  <dc:creator/>
  <cp:keywords>Казахстан; государственные учреждения; учет; лекции; 2026</cp:keywords>
  <dc:description>generated by python-docx</dc:description>
  <cp:lastModifiedBy>Гульжан Байтикенова</cp:lastModifiedBy>
  <cp:revision>3</cp:revision>
  <dcterms:created xsi:type="dcterms:W3CDTF">2013-12-23T23:15:00Z</dcterms:created>
  <dcterms:modified xsi:type="dcterms:W3CDTF">2026-10-21T10:23:00Z</dcterms:modified>
  <cp:category/>
</cp:coreProperties>
</file>