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746" w:rsidRDefault="004D7EE4">
      <w:pPr>
        <w:keepNext/>
        <w:jc w:val="both"/>
      </w:pPr>
      <w:r>
        <w:rPr>
          <w:rFonts w:eastAsia="Times New Roman" w:cs="Times New Roman"/>
          <w:b/>
          <w:lang w:val="ru-RU"/>
        </w:rPr>
        <w:t>ЛЕКЦИЯ 1</w:t>
      </w:r>
    </w:p>
    <w:p w:rsidR="002D0746" w:rsidRDefault="004D7EE4">
      <w:pPr>
        <w:pStyle w:val="aa"/>
        <w:keepNext/>
        <w:spacing w:after="160"/>
      </w:pPr>
      <w:r>
        <w:rPr>
          <w:rFonts w:ascii="Times New Roman" w:eastAsia="Times New Roman" w:hAnsi="Times New Roman" w:cs="Times New Roman"/>
          <w:lang w:val="ru-RU"/>
        </w:rPr>
        <w:t>Теоретические и правовые основы бухгалтерского учета в бюджетных организациях</w:t>
      </w:r>
    </w:p>
    <w:p w:rsidR="00E624B9" w:rsidRDefault="00BE47C0">
      <w:pPr>
        <w:jc w:val="both"/>
      </w:pPr>
      <w:r>
        <w:rPr>
          <w:rFonts w:eastAsia="Times New Roman" w:cs="Times New Roman"/>
          <w:lang w:val="ru-RU"/>
        </w:rPr>
        <w:t>Цель лекции. Раскрыть объекты учета государственного учреждения, правовую основу их признания и связь двойной записи с финансовой отчетностью.</w:t>
      </w:r>
    </w:p>
    <w:p w:rsidR="002D0746" w:rsidRDefault="004D7EE4">
      <w:pPr>
        <w:jc w:val="both"/>
      </w:pPr>
      <w:r>
        <w:rPr>
          <w:rFonts w:eastAsia="Times New Roman" w:cs="Times New Roman"/>
          <w:b/>
          <w:lang w:val="ru-RU"/>
        </w:rPr>
        <w:t>План лекции.</w:t>
      </w:r>
      <w:r>
        <w:rPr>
          <w:rFonts w:eastAsia="Times New Roman" w:cs="Times New Roman"/>
          <w:lang w:val="ru-RU"/>
        </w:rPr>
        <w:t xml:space="preserve"> Границы бюджетного учета; нормативная система; объекты и принципы; счета и двойная запись; организация учетного процесса.</w:t>
      </w:r>
    </w:p>
    <w:p w:rsidR="002D0746" w:rsidRDefault="004D7EE4">
      <w:pPr>
        <w:pStyle w:val="1"/>
      </w:pPr>
      <w:r>
        <w:rPr>
          <w:rFonts w:ascii="Times New Roman" w:eastAsia="Times New Roman" w:hAnsi="Times New Roman" w:cs="Times New Roman"/>
          <w:lang w:val="ru-RU"/>
        </w:rPr>
        <w:t>1 Государственное учреждение как объект учета</w:t>
      </w:r>
    </w:p>
    <w:p w:rsidR="002D0746" w:rsidRDefault="004D7EE4">
      <w:pPr>
        <w:jc w:val="both"/>
      </w:pPr>
      <w:r>
        <w:rPr>
          <w:rFonts w:eastAsia="Times New Roman" w:cs="Times New Roman"/>
          <w:lang w:val="ru-RU"/>
        </w:rPr>
        <w:t>Бюджетная организация оказывает общественно значимые услуги или выполняет функции государства: обеспечивает обучение, социальную поддержку, управление, сохранение культурных ценностей. Для оценки ее работы недостаточно показателя прибыли. Учреждение может не продавать услуги населению и при этом использовать значительные активы, принимать обязательства и отвечать за результат расходования ресурсов. Бухгалтерская информация показывает, какими ресурсами оно располагает, что должно оплатить и какие затраты относятся к отчетному периоду.</w:t>
      </w:r>
    </w:p>
    <w:p w:rsidR="002D0746" w:rsidRDefault="004D7EE4">
      <w:pPr>
        <w:jc w:val="both"/>
      </w:pPr>
      <w:r>
        <w:rPr>
          <w:rFonts w:eastAsia="Times New Roman" w:cs="Times New Roman"/>
          <w:lang w:val="ru-RU"/>
        </w:rPr>
        <w:t xml:space="preserve">В названии дисциплины используется широкое выражение «бюджетные организации». Основной объект этого курса — </w:t>
      </w:r>
      <w:r>
        <w:rPr>
          <w:rFonts w:eastAsia="Times New Roman" w:cs="Times New Roman"/>
          <w:b/>
          <w:lang w:val="ru-RU"/>
        </w:rPr>
        <w:t>государственное учреждение</w:t>
      </w:r>
      <w:r>
        <w:rPr>
          <w:rFonts w:eastAsia="Times New Roman" w:cs="Times New Roman"/>
          <w:lang w:val="ru-RU"/>
        </w:rPr>
        <w:t>, содержащееся за счет республиканского или местного бюджета. Государственное предприятие, акционерное общество с государственным участием и государственное учреждение имеют разные организационные формы. Получение денег из бюджета само по себе не делает любое юридическое лицо государственным учреждением и не означает автоматического применения одинакового плана счетов.</w:t>
      </w:r>
    </w:p>
    <w:p w:rsidR="002D0746" w:rsidRDefault="004D7EE4">
      <w:pPr>
        <w:jc w:val="both"/>
      </w:pPr>
      <w:r>
        <w:rPr>
          <w:rFonts w:eastAsia="Times New Roman" w:cs="Times New Roman"/>
          <w:lang w:val="ru-RU"/>
        </w:rPr>
        <w:t>Перед выбором учетных правил бухгалтер устанавливает правовую форму, учредителя, источник содержания и полномочия организации. Например, государственная школа в форме учреждения и организация образования в форме некоммерческого акционерного общества могут решать сходную общественную задачу, но учетную основу определяют отдельно. Ошибка на этом этапе распространяется на счета, отчетные формы и порядок контроля.</w:t>
      </w:r>
    </w:p>
    <w:p w:rsidR="002D0746" w:rsidRDefault="004D7EE4">
      <w:pPr>
        <w:jc w:val="both"/>
      </w:pPr>
      <w:r>
        <w:rPr>
          <w:rFonts w:eastAsia="Times New Roman" w:cs="Times New Roman"/>
          <w:lang w:val="ru-RU"/>
        </w:rPr>
        <w:t xml:space="preserve">Для государственного сектора важен </w:t>
      </w:r>
      <w:r>
        <w:rPr>
          <w:rFonts w:eastAsia="Times New Roman" w:cs="Times New Roman"/>
          <w:b/>
          <w:lang w:val="ru-RU"/>
        </w:rPr>
        <w:t>сервисный потенциал</w:t>
      </w:r>
      <w:r>
        <w:rPr>
          <w:rFonts w:eastAsia="Times New Roman" w:cs="Times New Roman"/>
          <w:lang w:val="ru-RU"/>
        </w:rPr>
        <w:t xml:space="preserve"> — способность ресурса обеспечивать оказание услуг. Учебный корпус приносит пользу через проведение занятий, даже если учащиеся не оплачивают каждое посещение. Поэтому отсутствие прямой денежной выручки не означает отсутствия актива. Значение имеют контроль над ресурсом, результат прошлого события и возможность его использования в деятельности.</w:t>
      </w:r>
    </w:p>
    <w:p w:rsidR="002D0746" w:rsidRDefault="004D7EE4">
      <w:pPr>
        <w:pStyle w:val="1"/>
      </w:pPr>
      <w:r>
        <w:rPr>
          <w:rFonts w:ascii="Times New Roman" w:eastAsia="Times New Roman" w:hAnsi="Times New Roman" w:cs="Times New Roman"/>
          <w:lang w:val="ru-RU"/>
        </w:rPr>
        <w:t>2 Нормативная система и ее применение</w:t>
      </w:r>
    </w:p>
    <w:p w:rsidR="002D0746" w:rsidRDefault="004D7EE4">
      <w:pPr>
        <w:jc w:val="both"/>
      </w:pPr>
      <w:r>
        <w:rPr>
          <w:rFonts w:eastAsia="Times New Roman" w:cs="Times New Roman"/>
          <w:lang w:val="ru-RU"/>
        </w:rPr>
        <w:t>Система бухгалтерского учета государственных учреждений установлена статьей 130 Бюджетного кодекса РК. Специальные требования определяют Правила № 223, единая Учетная политика № 191, План счетов № 170 и формы бухгалтерской документации № 187. Закон о бухгалтерском учете рассматривается с учетом специального регулирования государственных учреждений. Учет ведется методом начисления; операции отражаются в периоде их совершения независимо от времени платежа. [Н1–Н5, Н7]</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0" w:type="dxa"/>
          <w:bottom w:w="65" w:type="dxa"/>
          <w:right w:w="90" w:type="dxa"/>
        </w:tblCellMar>
        <w:tblLook w:val="04A0" w:firstRow="1" w:lastRow="0" w:firstColumn="1" w:lastColumn="0" w:noHBand="0" w:noVBand="1"/>
      </w:tblPr>
      <w:tblGrid>
        <w:gridCol w:w="2835"/>
        <w:gridCol w:w="3175"/>
        <w:gridCol w:w="3458"/>
      </w:tblGrid>
      <w:tr w:rsidR="002D0746">
        <w:trPr>
          <w:cantSplit/>
          <w:tblHeader/>
          <w:jc w:val="center"/>
        </w:trPr>
        <w:tc>
          <w:tcPr>
            <w:tcW w:w="2835" w:type="dxa"/>
            <w:shd w:val="clear" w:color="auto" w:fill="E8EFF5"/>
            <w:vAlign w:val="center"/>
          </w:tcPr>
          <w:p w:rsidR="002D0746" w:rsidRDefault="004D7EE4">
            <w:pPr>
              <w:keepNext/>
              <w:spacing w:after="0" w:line="240" w:lineRule="auto"/>
              <w:ind w:firstLine="0"/>
            </w:pPr>
            <w:r>
              <w:rPr>
                <w:rFonts w:eastAsia="Times New Roman" w:cs="Times New Roman"/>
                <w:b/>
                <w:sz w:val="21"/>
                <w:lang w:val="ru-RU"/>
              </w:rPr>
              <w:lastRenderedPageBreak/>
              <w:t>Уровень регулирования</w:t>
            </w:r>
          </w:p>
        </w:tc>
        <w:tc>
          <w:tcPr>
            <w:tcW w:w="3175" w:type="dxa"/>
            <w:shd w:val="clear" w:color="auto" w:fill="E8EFF5"/>
            <w:vAlign w:val="center"/>
          </w:tcPr>
          <w:p w:rsidR="002D0746" w:rsidRDefault="004D7EE4">
            <w:pPr>
              <w:keepNext/>
              <w:spacing w:after="0" w:line="240" w:lineRule="auto"/>
              <w:ind w:firstLine="0"/>
            </w:pPr>
            <w:r>
              <w:rPr>
                <w:rFonts w:eastAsia="Times New Roman" w:cs="Times New Roman"/>
                <w:b/>
                <w:sz w:val="21"/>
                <w:lang w:val="ru-RU"/>
              </w:rPr>
              <w:t>На какой вопрос отвечает</w:t>
            </w:r>
          </w:p>
        </w:tc>
        <w:tc>
          <w:tcPr>
            <w:tcW w:w="3458" w:type="dxa"/>
            <w:shd w:val="clear" w:color="auto" w:fill="E8EFF5"/>
            <w:vAlign w:val="center"/>
          </w:tcPr>
          <w:p w:rsidR="002D0746" w:rsidRDefault="004D7EE4">
            <w:pPr>
              <w:keepNext/>
              <w:spacing w:after="0" w:line="240" w:lineRule="auto"/>
              <w:ind w:firstLine="0"/>
            </w:pPr>
            <w:r>
              <w:rPr>
                <w:rFonts w:eastAsia="Times New Roman" w:cs="Times New Roman"/>
                <w:b/>
                <w:sz w:val="21"/>
                <w:lang w:val="ru-RU"/>
              </w:rPr>
              <w:t>Что проверяет бухгалтер</w:t>
            </w:r>
          </w:p>
        </w:tc>
      </w:tr>
      <w:tr w:rsidR="002D0746">
        <w:trPr>
          <w:cantSplit/>
          <w:jc w:val="center"/>
        </w:trPr>
        <w:tc>
          <w:tcPr>
            <w:tcW w:w="2835" w:type="dxa"/>
            <w:vAlign w:val="center"/>
          </w:tcPr>
          <w:p w:rsidR="002D0746" w:rsidRDefault="004D7EE4">
            <w:pPr>
              <w:keepNext/>
              <w:spacing w:after="0" w:line="240" w:lineRule="auto"/>
              <w:ind w:firstLine="0"/>
            </w:pPr>
            <w:r>
              <w:rPr>
                <w:rFonts w:eastAsia="Times New Roman" w:cs="Times New Roman"/>
                <w:sz w:val="21"/>
                <w:lang w:val="ru-RU"/>
              </w:rPr>
              <w:t>Бюджетное законодательство</w:t>
            </w:r>
          </w:p>
        </w:tc>
        <w:tc>
          <w:tcPr>
            <w:tcW w:w="3175" w:type="dxa"/>
            <w:vAlign w:val="center"/>
          </w:tcPr>
          <w:p w:rsidR="002D0746" w:rsidRDefault="004D7EE4">
            <w:pPr>
              <w:keepNext/>
              <w:spacing w:after="0" w:line="240" w:lineRule="auto"/>
              <w:ind w:firstLine="0"/>
            </w:pPr>
            <w:r>
              <w:rPr>
                <w:rFonts w:eastAsia="Times New Roman" w:cs="Times New Roman"/>
                <w:sz w:val="21"/>
                <w:lang w:val="ru-RU"/>
              </w:rPr>
              <w:t>Для каких целей и в каких пределах используются ресурсы</w:t>
            </w:r>
          </w:p>
        </w:tc>
        <w:tc>
          <w:tcPr>
            <w:tcW w:w="3458" w:type="dxa"/>
            <w:vAlign w:val="center"/>
          </w:tcPr>
          <w:p w:rsidR="002D0746" w:rsidRDefault="004D7EE4">
            <w:pPr>
              <w:keepNext/>
              <w:spacing w:after="0" w:line="240" w:lineRule="auto"/>
              <w:ind w:firstLine="0"/>
            </w:pPr>
            <w:r>
              <w:rPr>
                <w:rFonts w:eastAsia="Times New Roman" w:cs="Times New Roman"/>
                <w:sz w:val="21"/>
                <w:lang w:val="ru-RU"/>
              </w:rPr>
              <w:t>Полномочия учреждения и назначение расходов</w:t>
            </w:r>
          </w:p>
        </w:tc>
      </w:tr>
      <w:tr w:rsidR="002D0746">
        <w:trPr>
          <w:cantSplit/>
          <w:jc w:val="center"/>
        </w:trPr>
        <w:tc>
          <w:tcPr>
            <w:tcW w:w="2835" w:type="dxa"/>
            <w:vAlign w:val="center"/>
          </w:tcPr>
          <w:p w:rsidR="002D0746" w:rsidRDefault="004D7EE4">
            <w:pPr>
              <w:keepNext/>
              <w:spacing w:after="0" w:line="240" w:lineRule="auto"/>
              <w:ind w:firstLine="0"/>
            </w:pPr>
            <w:r>
              <w:rPr>
                <w:rFonts w:eastAsia="Times New Roman" w:cs="Times New Roman"/>
                <w:sz w:val="21"/>
                <w:lang w:val="ru-RU"/>
              </w:rPr>
              <w:t>Правила учета и единая учетная политика</w:t>
            </w:r>
          </w:p>
        </w:tc>
        <w:tc>
          <w:tcPr>
            <w:tcW w:w="3175" w:type="dxa"/>
            <w:vAlign w:val="center"/>
          </w:tcPr>
          <w:p w:rsidR="002D0746" w:rsidRDefault="004D7EE4">
            <w:pPr>
              <w:keepNext/>
              <w:spacing w:after="0" w:line="240" w:lineRule="auto"/>
              <w:ind w:firstLine="0"/>
            </w:pPr>
            <w:r>
              <w:rPr>
                <w:rFonts w:eastAsia="Times New Roman" w:cs="Times New Roman"/>
                <w:sz w:val="21"/>
                <w:lang w:val="ru-RU"/>
              </w:rPr>
              <w:t>Когда и как отражается операция</w:t>
            </w:r>
          </w:p>
        </w:tc>
        <w:tc>
          <w:tcPr>
            <w:tcW w:w="3458" w:type="dxa"/>
            <w:vAlign w:val="center"/>
          </w:tcPr>
          <w:p w:rsidR="002D0746" w:rsidRDefault="004D7EE4">
            <w:pPr>
              <w:keepNext/>
              <w:spacing w:after="0" w:line="240" w:lineRule="auto"/>
              <w:ind w:firstLine="0"/>
            </w:pPr>
            <w:r>
              <w:rPr>
                <w:rFonts w:eastAsia="Times New Roman" w:cs="Times New Roman"/>
                <w:sz w:val="21"/>
                <w:lang w:val="ru-RU"/>
              </w:rPr>
              <w:t>Признание оценка и представление</w:t>
            </w:r>
          </w:p>
        </w:tc>
      </w:tr>
      <w:tr w:rsidR="002D0746">
        <w:trPr>
          <w:cantSplit/>
          <w:jc w:val="center"/>
        </w:trPr>
        <w:tc>
          <w:tcPr>
            <w:tcW w:w="2835" w:type="dxa"/>
            <w:vAlign w:val="center"/>
          </w:tcPr>
          <w:p w:rsidR="002D0746" w:rsidRDefault="004D7EE4">
            <w:pPr>
              <w:keepNext/>
              <w:spacing w:after="0" w:line="240" w:lineRule="auto"/>
              <w:ind w:firstLine="0"/>
            </w:pPr>
            <w:r>
              <w:rPr>
                <w:rFonts w:eastAsia="Times New Roman" w:cs="Times New Roman"/>
                <w:sz w:val="21"/>
                <w:lang w:val="ru-RU"/>
              </w:rPr>
              <w:t>План счетов</w:t>
            </w:r>
          </w:p>
        </w:tc>
        <w:tc>
          <w:tcPr>
            <w:tcW w:w="3175" w:type="dxa"/>
            <w:vAlign w:val="center"/>
          </w:tcPr>
          <w:p w:rsidR="002D0746" w:rsidRDefault="004D7EE4">
            <w:pPr>
              <w:keepNext/>
              <w:spacing w:after="0" w:line="240" w:lineRule="auto"/>
              <w:ind w:firstLine="0"/>
            </w:pPr>
            <w:r>
              <w:rPr>
                <w:rFonts w:eastAsia="Times New Roman" w:cs="Times New Roman"/>
                <w:sz w:val="21"/>
                <w:lang w:val="ru-RU"/>
              </w:rPr>
              <w:t>Где обобщаются данные</w:t>
            </w:r>
          </w:p>
        </w:tc>
        <w:tc>
          <w:tcPr>
            <w:tcW w:w="3458" w:type="dxa"/>
            <w:vAlign w:val="center"/>
          </w:tcPr>
          <w:p w:rsidR="002D0746" w:rsidRDefault="004D7EE4">
            <w:pPr>
              <w:keepNext/>
              <w:spacing w:after="0" w:line="240" w:lineRule="auto"/>
              <w:ind w:firstLine="0"/>
            </w:pPr>
            <w:r>
              <w:rPr>
                <w:rFonts w:eastAsia="Times New Roman" w:cs="Times New Roman"/>
                <w:sz w:val="21"/>
                <w:lang w:val="ru-RU"/>
              </w:rPr>
              <w:t>Счет субсчет и аналитические разрезы</w:t>
            </w:r>
          </w:p>
        </w:tc>
      </w:tr>
      <w:tr w:rsidR="002D0746">
        <w:trPr>
          <w:cantSplit/>
          <w:jc w:val="center"/>
        </w:trPr>
        <w:tc>
          <w:tcPr>
            <w:tcW w:w="2835" w:type="dxa"/>
            <w:vAlign w:val="center"/>
          </w:tcPr>
          <w:p w:rsidR="002D0746" w:rsidRDefault="004D7EE4">
            <w:pPr>
              <w:spacing w:after="0" w:line="240" w:lineRule="auto"/>
              <w:ind w:firstLine="0"/>
            </w:pPr>
            <w:r>
              <w:rPr>
                <w:rFonts w:eastAsia="Times New Roman" w:cs="Times New Roman"/>
                <w:sz w:val="21"/>
                <w:lang w:val="ru-RU"/>
              </w:rPr>
              <w:t>Формы документов и внутренние процедуры</w:t>
            </w:r>
          </w:p>
        </w:tc>
        <w:tc>
          <w:tcPr>
            <w:tcW w:w="3175" w:type="dxa"/>
            <w:vAlign w:val="center"/>
          </w:tcPr>
          <w:p w:rsidR="002D0746" w:rsidRDefault="004D7EE4">
            <w:pPr>
              <w:spacing w:after="0" w:line="240" w:lineRule="auto"/>
              <w:ind w:firstLine="0"/>
            </w:pPr>
            <w:r>
              <w:rPr>
                <w:rFonts w:eastAsia="Times New Roman" w:cs="Times New Roman"/>
                <w:sz w:val="21"/>
                <w:lang w:val="ru-RU"/>
              </w:rPr>
              <w:t>Чем подтверждено событие</w:t>
            </w:r>
          </w:p>
        </w:tc>
        <w:tc>
          <w:tcPr>
            <w:tcW w:w="3458" w:type="dxa"/>
            <w:vAlign w:val="center"/>
          </w:tcPr>
          <w:p w:rsidR="002D0746" w:rsidRDefault="004D7EE4">
            <w:pPr>
              <w:spacing w:after="0" w:line="240" w:lineRule="auto"/>
              <w:ind w:firstLine="0"/>
            </w:pPr>
            <w:r>
              <w:rPr>
                <w:rFonts w:eastAsia="Times New Roman" w:cs="Times New Roman"/>
                <w:sz w:val="21"/>
                <w:lang w:val="ru-RU"/>
              </w:rPr>
              <w:t>Реквизиты полномочия и маршрут согласования</w:t>
            </w:r>
          </w:p>
        </w:tc>
      </w:tr>
    </w:tbl>
    <w:p w:rsidR="002D0746" w:rsidRDefault="002D0746">
      <w:pPr>
        <w:spacing w:line="20" w:lineRule="exact"/>
        <w:ind w:firstLine="0"/>
      </w:pPr>
    </w:p>
    <w:p w:rsidR="002D0746" w:rsidRDefault="004D7EE4">
      <w:pPr>
        <w:jc w:val="both"/>
      </w:pPr>
      <w:r>
        <w:rPr>
          <w:rFonts w:eastAsia="Times New Roman" w:cs="Times New Roman"/>
          <w:lang w:val="ru-RU"/>
        </w:rPr>
        <w:t>Иерархия означает, что внутренний приказ не может отменять требования акта более высокой юридической силы. Внутренними документами организуют документооборот, закрепляют ответственных, определяют технические разрезы аналитики и порядок проверок в пределах предоставленных полномочий. Единая учетная политика государственных учреждений ограничивает произвольную замену методов по желанию отдельного бухгалтера.</w:t>
      </w:r>
    </w:p>
    <w:p w:rsidR="002D0746" w:rsidRDefault="004D7EE4">
      <w:pPr>
        <w:jc w:val="both"/>
      </w:pPr>
      <w:r>
        <w:rPr>
          <w:rFonts w:eastAsia="Times New Roman" w:cs="Times New Roman"/>
          <w:lang w:val="ru-RU"/>
        </w:rPr>
        <w:t>При работе с нормативной базой полезно фиксировать пять признаков: название акта, номер и дату, статус, редакцию и дату введения изменения в действие. Дата принятия поправки и дата начала ее применения могут не совпадать. Сохраненная несколько лет назад копия справочника не подтверждает актуальность правила на отчетную дату.</w:t>
      </w:r>
    </w:p>
    <w:p w:rsidR="00E624B9" w:rsidRDefault="00BE47C0">
      <w:pPr>
        <w:pStyle w:val="21"/>
      </w:pPr>
      <w:r>
        <w:rPr>
          <w:rFonts w:ascii="Times New Roman" w:hAnsi="Times New Roman"/>
        </w:rPr>
        <w:t>МСФО ОС и национальное регулиро</w:t>
      </w:r>
      <w:r>
        <w:rPr>
          <w:rFonts w:ascii="Times New Roman" w:hAnsi="Times New Roman"/>
        </w:rPr>
        <w:t>вание</w:t>
      </w:r>
    </w:p>
    <w:p w:rsidR="00E624B9" w:rsidRDefault="00BE47C0">
      <w:pPr>
        <w:jc w:val="both"/>
      </w:pPr>
      <w:r>
        <w:rPr>
          <w:rFonts w:eastAsia="Times New Roman" w:cs="Times New Roman"/>
          <w:lang w:val="ru-RU"/>
        </w:rPr>
        <w:t>Международные стандарты финансовой отчетности общественного сектора — МСФО ОС, или IPSAS — разрабатывает IPSASB. Их назначение состоит в обеспечении подотчетности и предоставлении информации для принятия решений пользователями, включая получателей об</w:t>
      </w:r>
      <w:r>
        <w:rPr>
          <w:rFonts w:eastAsia="Times New Roman" w:cs="Times New Roman"/>
          <w:lang w:val="ru-RU"/>
        </w:rPr>
        <w:t>щественных услуг и поставщиков ресурсов. Концептуальные основы связывают полезность отчетности с уместностью, правдивым представлением, понятностью, своевременностью, сопоставимостью и проверяемостью информации. [М0]</w:t>
      </w:r>
    </w:p>
    <w:p w:rsidR="00E624B9" w:rsidRDefault="00BE47C0">
      <w:pPr>
        <w:jc w:val="both"/>
      </w:pPr>
      <w:r>
        <w:rPr>
          <w:rFonts w:eastAsia="Times New Roman" w:cs="Times New Roman"/>
          <w:lang w:val="ru-RU"/>
        </w:rPr>
        <w:t>Для бухгалтерских записей и обязательно</w:t>
      </w:r>
      <w:r>
        <w:rPr>
          <w:rFonts w:eastAsia="Times New Roman" w:cs="Times New Roman"/>
          <w:lang w:val="ru-RU"/>
        </w:rPr>
        <w:t xml:space="preserve">й отчетности государственного учреждения Казахстана применяются установленные национальные правила. Международный стандарт используется для раскрытия экономического содержания объекта и сопоставления учетных моделей. Выход новой редакции IPSAS сам по себе </w:t>
      </w:r>
      <w:r>
        <w:rPr>
          <w:rFonts w:eastAsia="Times New Roman" w:cs="Times New Roman"/>
          <w:lang w:val="ru-RU"/>
        </w:rPr>
        <w:t>не изменяет утвержденные в Казахстане счета и формы. Соответствие отчетности всем МСФО ОС может заявляться только при выполнении всех применимых требований этих стандартов. [Н1, Н3, Н5; М1]</w:t>
      </w:r>
    </w:p>
    <w:p w:rsidR="00E624B9" w:rsidRDefault="00BE47C0">
      <w:pPr>
        <w:jc w:val="both"/>
      </w:pPr>
      <w:r>
        <w:rPr>
          <w:rFonts w:eastAsia="Times New Roman" w:cs="Times New Roman"/>
          <w:lang w:val="ru-RU"/>
        </w:rPr>
        <w:t>В действующей международной системе основные средства рассматриваю</w:t>
      </w:r>
      <w:r>
        <w:rPr>
          <w:rFonts w:eastAsia="Times New Roman" w:cs="Times New Roman"/>
          <w:lang w:val="ru-RU"/>
        </w:rPr>
        <w:t>тся по МСФО ОС 45 и 46, применяемым с 1 января 2025 года. МСФО ОС 45 заменил стандарт 17. Для доходов с 1 января 2026 года применяется МСФО ОС 47, заменивший стандарты 9, 11 и 23; трансфертные расходы регулируются стандартом 48. Поэтому национальное делени</w:t>
      </w:r>
      <w:r>
        <w:rPr>
          <w:rFonts w:eastAsia="Times New Roman" w:cs="Times New Roman"/>
          <w:lang w:val="ru-RU"/>
        </w:rPr>
        <w:t>е операций на обменные и необменные необходимо отличать от современной международной модели доходов. [М45–М48]</w:t>
      </w:r>
    </w:p>
    <w:p w:rsidR="002D0746" w:rsidRDefault="004D7EE4">
      <w:pPr>
        <w:pStyle w:val="1"/>
      </w:pPr>
      <w:r>
        <w:rPr>
          <w:rFonts w:ascii="Times New Roman" w:eastAsia="Times New Roman" w:hAnsi="Times New Roman" w:cs="Times New Roman"/>
          <w:lang w:val="ru-RU"/>
        </w:rPr>
        <w:t>3 Объекты учета и основные взаимосвязи</w:t>
      </w:r>
    </w:p>
    <w:p w:rsidR="002D0746" w:rsidRDefault="004D7EE4">
      <w:pPr>
        <w:jc w:val="both"/>
      </w:pPr>
      <w:r>
        <w:rPr>
          <w:rFonts w:eastAsia="Times New Roman" w:cs="Times New Roman"/>
          <w:b/>
          <w:lang w:val="ru-RU"/>
        </w:rPr>
        <w:t>Актив</w:t>
      </w:r>
      <w:r>
        <w:rPr>
          <w:rFonts w:eastAsia="Times New Roman" w:cs="Times New Roman"/>
          <w:lang w:val="ru-RU"/>
        </w:rPr>
        <w:t xml:space="preserve"> отражает контролируемый ресурс. </w:t>
      </w:r>
      <w:r>
        <w:rPr>
          <w:rFonts w:eastAsia="Times New Roman" w:cs="Times New Roman"/>
          <w:b/>
          <w:lang w:val="ru-RU"/>
        </w:rPr>
        <w:t>Обязательство</w:t>
      </w:r>
      <w:r>
        <w:rPr>
          <w:rFonts w:eastAsia="Times New Roman" w:cs="Times New Roman"/>
          <w:lang w:val="ru-RU"/>
        </w:rPr>
        <w:t xml:space="preserve"> показывает существующую обязанность передать ресурсы или исполнить иное предусмотренное условие. </w:t>
      </w:r>
      <w:r>
        <w:rPr>
          <w:rFonts w:eastAsia="Times New Roman" w:cs="Times New Roman"/>
          <w:b/>
          <w:lang w:val="ru-RU"/>
        </w:rPr>
        <w:t>Чистые активы или капитал</w:t>
      </w:r>
      <w:r>
        <w:rPr>
          <w:rFonts w:eastAsia="Times New Roman" w:cs="Times New Roman"/>
          <w:lang w:val="ru-RU"/>
        </w:rPr>
        <w:t xml:space="preserve"> представляют остаток активов после вычета обязательств. Доходы и расходы изменяют финансовый результат периода. Эти категории позволяют одновременно видеть имущество, долги и изменение обеспеченности учреждения.</w:t>
      </w:r>
    </w:p>
    <w:p w:rsidR="002D0746" w:rsidRDefault="004D7EE4">
      <w:pPr>
        <w:jc w:val="both"/>
      </w:pPr>
      <w:r>
        <w:rPr>
          <w:rFonts w:eastAsia="Times New Roman" w:cs="Times New Roman"/>
          <w:lang w:val="ru-RU"/>
        </w:rPr>
        <w:t>Балансовая взаимосвязь выражается равенством: активы = обязательства + чистые активы. Поступление материалов с отсрочкой платежа увеличивает и актив, и обязательство. Использование материалов при оказании услуги уменьшает актив и формирует расход. Оплата поставщику уменьшает деньги и задолженность, но повторного расхода не создает. Двойное признание расхода при поступлении и оплате искажает отчетность.</w:t>
      </w:r>
    </w:p>
    <w:p w:rsidR="002D0746" w:rsidRDefault="004D7EE4">
      <w:pPr>
        <w:jc w:val="both"/>
      </w:pPr>
      <w:r>
        <w:rPr>
          <w:rFonts w:eastAsia="Times New Roman" w:cs="Times New Roman"/>
          <w:b/>
          <w:lang w:val="ru-RU"/>
        </w:rPr>
        <w:t>Начисление</w:t>
      </w:r>
      <w:r>
        <w:rPr>
          <w:rFonts w:eastAsia="Times New Roman" w:cs="Times New Roman"/>
          <w:lang w:val="ru-RU"/>
        </w:rPr>
        <w:t xml:space="preserve"> связывает отражение операции с событием, а не только с датой платежа. Если учреждение получило услугу в декабре и приняло ее результат, задолженность и относящийся к периоду расход не исчезают из-за оплаты в январе. В то же время перечисленный до получения товара аванс обычно сначала представляет требование к поставщику. Оплата и потребление ресурса могут относиться к разным периодам.</w:t>
      </w:r>
    </w:p>
    <w:p w:rsidR="002D0746" w:rsidRDefault="004D7EE4">
      <w:pPr>
        <w:jc w:val="both"/>
      </w:pPr>
      <w:r>
        <w:rPr>
          <w:rFonts w:eastAsia="Times New Roman" w:cs="Times New Roman"/>
          <w:lang w:val="ru-RU"/>
        </w:rPr>
        <w:t>Принцип непрерывности позволяет рассматривать учреждение как продолжающее деятельность, если нет оснований для иного вывода. Последовательность обеспечивает сопоставимость данных. Существенность требует оценивать влияние информации на решения. Ни один из этих принципов не разрешает скрывать нарушение целевого назначения средств или оформлять несуществующие операции.</w:t>
      </w:r>
    </w:p>
    <w:p w:rsidR="00E624B9" w:rsidRDefault="00BE47C0">
      <w:pPr>
        <w:jc w:val="both"/>
      </w:pPr>
      <w:r>
        <w:rPr>
          <w:rFonts w:eastAsia="Times New Roman" w:cs="Times New Roman"/>
          <w:lang w:val="ru-RU"/>
        </w:rPr>
        <w:t>Доход увеличивает чистые а</w:t>
      </w:r>
      <w:r>
        <w:rPr>
          <w:rFonts w:eastAsia="Times New Roman" w:cs="Times New Roman"/>
          <w:lang w:val="ru-RU"/>
        </w:rPr>
        <w:t xml:space="preserve">ктивы через увеличение активов либо уменьшение обязательств; расход уменьшает их через уменьшение активов либо возникновение обязательств. Взносы собственников и распределения собственникам рассматриваются отдельно от доходов и расходов. Поэтому изменение </w:t>
      </w:r>
      <w:r>
        <w:rPr>
          <w:rFonts w:eastAsia="Times New Roman" w:cs="Times New Roman"/>
          <w:lang w:val="ru-RU"/>
        </w:rPr>
        <w:t>чистых активов не всегда равно финансовому результату периода. [Н5; М0, М1]</w:t>
      </w:r>
    </w:p>
    <w:p w:rsidR="002D0746" w:rsidRDefault="004D7EE4">
      <w:pPr>
        <w:pStyle w:val="1"/>
      </w:pPr>
      <w:r>
        <w:rPr>
          <w:rFonts w:ascii="Times New Roman" w:eastAsia="Times New Roman" w:hAnsi="Times New Roman" w:cs="Times New Roman"/>
          <w:lang w:val="ru-RU"/>
        </w:rPr>
        <w:t>4 Счета двойная запись и аналитика</w:t>
      </w:r>
    </w:p>
    <w:p w:rsidR="002D0746" w:rsidRDefault="004D7EE4">
      <w:pPr>
        <w:jc w:val="both"/>
      </w:pPr>
      <w:r>
        <w:rPr>
          <w:rFonts w:eastAsia="Times New Roman" w:cs="Times New Roman"/>
          <w:lang w:val="ru-RU"/>
        </w:rPr>
        <w:t>Счет группирует однородные операции. Для активного счета увеличение обычно отражается по дебету, уменьшение — по кредиту. Для обязательства увеличение отражается по кредиту, погашение — по дебету. В каждой записи сумма дебета равна сумме кредита. Это равенство проверяет арифметическую связанность записи, но не подтверждает законность и реальность события.</w:t>
      </w:r>
    </w:p>
    <w:p w:rsidR="002D0746" w:rsidRDefault="004D7EE4">
      <w:pPr>
        <w:jc w:val="both"/>
      </w:pPr>
      <w:r>
        <w:rPr>
          <w:rFonts w:eastAsia="Times New Roman" w:cs="Times New Roman"/>
          <w:b/>
          <w:lang w:val="ru-RU"/>
        </w:rPr>
        <w:t>Синтетический учет</w:t>
      </w:r>
      <w:r>
        <w:rPr>
          <w:rFonts w:eastAsia="Times New Roman" w:cs="Times New Roman"/>
          <w:lang w:val="ru-RU"/>
        </w:rPr>
        <w:t xml:space="preserve"> дает обобщенную сумму по счету. </w:t>
      </w:r>
      <w:r>
        <w:rPr>
          <w:rFonts w:eastAsia="Times New Roman" w:cs="Times New Roman"/>
          <w:b/>
          <w:lang w:val="ru-RU"/>
        </w:rPr>
        <w:t>Аналитический учет</w:t>
      </w:r>
      <w:r>
        <w:rPr>
          <w:rFonts w:eastAsia="Times New Roman" w:cs="Times New Roman"/>
          <w:lang w:val="ru-RU"/>
        </w:rPr>
        <w:t xml:space="preserve"> раскрывает ее по объектам, контрагентам, договорам, источникам и иным необходимым признакам. Если в главной книге отражено 1 500 тыс. тенге задолженности, аналитика должна показать, кому, за что и в какой срок учреждение должно заплатить. Итог аналитических записей сверяется с синтетическим счетом.</w:t>
      </w:r>
    </w:p>
    <w:p w:rsidR="002D0746" w:rsidRDefault="004D7EE4">
      <w:pPr>
        <w:jc w:val="both"/>
      </w:pPr>
      <w:r>
        <w:rPr>
          <w:rFonts w:eastAsia="Times New Roman" w:cs="Times New Roman"/>
          <w:lang w:val="ru-RU"/>
        </w:rPr>
        <w:t>Рабочая аналитика должна соединять бухгалтерское содержание и бюджетное назначение. Номер счета не заменяет код бюджетной программы или экономическую классификацию. Счет отвечает на вопрос об объекте учета, бюджетный код — о назначении операции в системе исполнения бюджета. Одна сумма должна сохранять согласованные признаки во всех регистрах.</w:t>
      </w:r>
    </w:p>
    <w:p w:rsidR="002D0746" w:rsidRDefault="004D7EE4">
      <w:pPr>
        <w:pStyle w:val="1"/>
      </w:pPr>
      <w:r>
        <w:rPr>
          <w:rFonts w:ascii="Times New Roman" w:eastAsia="Times New Roman" w:hAnsi="Times New Roman" w:cs="Times New Roman"/>
          <w:lang w:val="ru-RU"/>
        </w:rPr>
        <w:t>5 Разобранный пример изменения баланса</w:t>
      </w:r>
    </w:p>
    <w:p w:rsidR="002D0746" w:rsidRDefault="004D7EE4">
      <w:pPr>
        <w:jc w:val="both"/>
      </w:pPr>
      <w:r>
        <w:rPr>
          <w:rFonts w:eastAsia="Times New Roman" w:cs="Times New Roman"/>
          <w:lang w:val="ru-RU"/>
        </w:rPr>
        <w:t>Условное учреждение имеет активы 5 000, обязательства 1 200 и чистые активы 3 800 тыс. тенге. Поставщик передал материалы на 300 с отсрочкой оплаты. Затем материалы на 120 использованы для оказания услуг. После этого поставщику перечислено 200. Начальная задолженность по другим операциям остается неизменной.</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0" w:type="dxa"/>
          <w:bottom w:w="65" w:type="dxa"/>
          <w:right w:w="90" w:type="dxa"/>
        </w:tblCellMar>
        <w:tblLook w:val="04A0" w:firstRow="1" w:lastRow="0" w:firstColumn="1" w:lastColumn="0" w:noHBand="0" w:noVBand="1"/>
      </w:tblPr>
      <w:tblGrid>
        <w:gridCol w:w="4365"/>
        <w:gridCol w:w="1701"/>
        <w:gridCol w:w="1701"/>
        <w:gridCol w:w="1701"/>
      </w:tblGrid>
      <w:tr w:rsidR="002D0746">
        <w:trPr>
          <w:cantSplit/>
          <w:tblHeader/>
          <w:jc w:val="center"/>
        </w:trPr>
        <w:tc>
          <w:tcPr>
            <w:tcW w:w="4365" w:type="dxa"/>
            <w:shd w:val="clear" w:color="auto" w:fill="E8EFF5"/>
            <w:vAlign w:val="center"/>
          </w:tcPr>
          <w:p w:rsidR="002D0746" w:rsidRDefault="004D7EE4">
            <w:pPr>
              <w:keepNext/>
              <w:spacing w:after="0" w:line="240" w:lineRule="auto"/>
              <w:ind w:firstLine="0"/>
            </w:pPr>
            <w:r>
              <w:rPr>
                <w:rFonts w:eastAsia="Times New Roman" w:cs="Times New Roman"/>
                <w:b/>
                <w:sz w:val="21"/>
                <w:lang w:val="ru-RU"/>
              </w:rPr>
              <w:t>Состояние после операции</w:t>
            </w:r>
          </w:p>
        </w:tc>
        <w:tc>
          <w:tcPr>
            <w:tcW w:w="1701" w:type="dxa"/>
            <w:shd w:val="clear" w:color="auto" w:fill="E8EFF5"/>
            <w:vAlign w:val="center"/>
          </w:tcPr>
          <w:p w:rsidR="002D0746" w:rsidRDefault="004D7EE4">
            <w:pPr>
              <w:keepNext/>
              <w:spacing w:after="0" w:line="240" w:lineRule="auto"/>
              <w:ind w:firstLine="0"/>
              <w:jc w:val="center"/>
            </w:pPr>
            <w:r>
              <w:rPr>
                <w:rFonts w:eastAsia="Times New Roman" w:cs="Times New Roman"/>
                <w:b/>
                <w:sz w:val="21"/>
                <w:lang w:val="ru-RU"/>
              </w:rPr>
              <w:t>Активы</w:t>
            </w:r>
          </w:p>
        </w:tc>
        <w:tc>
          <w:tcPr>
            <w:tcW w:w="1701" w:type="dxa"/>
            <w:shd w:val="clear" w:color="auto" w:fill="E8EFF5"/>
            <w:vAlign w:val="center"/>
          </w:tcPr>
          <w:p w:rsidR="002D0746" w:rsidRDefault="004D7EE4">
            <w:pPr>
              <w:keepNext/>
              <w:spacing w:after="0" w:line="240" w:lineRule="auto"/>
              <w:ind w:firstLine="0"/>
            </w:pPr>
            <w:r>
              <w:rPr>
                <w:rFonts w:eastAsia="Times New Roman" w:cs="Times New Roman"/>
                <w:b/>
                <w:sz w:val="21"/>
                <w:lang w:val="ru-RU"/>
              </w:rPr>
              <w:t>Обязательства</w:t>
            </w:r>
          </w:p>
        </w:tc>
        <w:tc>
          <w:tcPr>
            <w:tcW w:w="1701" w:type="dxa"/>
            <w:shd w:val="clear" w:color="auto" w:fill="E8EFF5"/>
            <w:vAlign w:val="center"/>
          </w:tcPr>
          <w:p w:rsidR="002D0746" w:rsidRDefault="004D7EE4">
            <w:pPr>
              <w:keepNext/>
              <w:spacing w:after="0" w:line="240" w:lineRule="auto"/>
              <w:ind w:firstLine="0"/>
            </w:pPr>
            <w:r>
              <w:rPr>
                <w:rFonts w:eastAsia="Times New Roman" w:cs="Times New Roman"/>
                <w:b/>
                <w:sz w:val="21"/>
                <w:lang w:val="ru-RU"/>
              </w:rPr>
              <w:t>Чистые активы</w:t>
            </w:r>
          </w:p>
        </w:tc>
      </w:tr>
      <w:tr w:rsidR="002D0746">
        <w:trPr>
          <w:cantSplit/>
          <w:jc w:val="center"/>
        </w:trPr>
        <w:tc>
          <w:tcPr>
            <w:tcW w:w="4365" w:type="dxa"/>
            <w:vAlign w:val="center"/>
          </w:tcPr>
          <w:p w:rsidR="002D0746" w:rsidRDefault="004D7EE4">
            <w:pPr>
              <w:keepNext/>
              <w:spacing w:after="0" w:line="240" w:lineRule="auto"/>
              <w:ind w:firstLine="0"/>
            </w:pPr>
            <w:r>
              <w:rPr>
                <w:rFonts w:eastAsia="Times New Roman" w:cs="Times New Roman"/>
                <w:sz w:val="21"/>
                <w:lang w:val="ru-RU"/>
              </w:rPr>
              <w:t>До операций</w:t>
            </w:r>
          </w:p>
        </w:tc>
        <w:tc>
          <w:tcPr>
            <w:tcW w:w="1701" w:type="dxa"/>
            <w:vAlign w:val="center"/>
          </w:tcPr>
          <w:p w:rsidR="002D0746" w:rsidRDefault="004D7EE4">
            <w:pPr>
              <w:keepNext/>
              <w:spacing w:after="0" w:line="240" w:lineRule="auto"/>
              <w:ind w:firstLine="0"/>
              <w:jc w:val="center"/>
            </w:pPr>
            <w:r>
              <w:rPr>
                <w:rFonts w:eastAsia="Times New Roman" w:cs="Times New Roman"/>
                <w:sz w:val="21"/>
                <w:lang w:val="ru-RU"/>
              </w:rPr>
              <w:t>5 000</w:t>
            </w:r>
          </w:p>
        </w:tc>
        <w:tc>
          <w:tcPr>
            <w:tcW w:w="1701" w:type="dxa"/>
            <w:vAlign w:val="center"/>
          </w:tcPr>
          <w:p w:rsidR="002D0746" w:rsidRDefault="004D7EE4">
            <w:pPr>
              <w:keepNext/>
              <w:spacing w:after="0" w:line="240" w:lineRule="auto"/>
              <w:ind w:firstLine="0"/>
              <w:jc w:val="center"/>
            </w:pPr>
            <w:r>
              <w:rPr>
                <w:rFonts w:eastAsia="Times New Roman" w:cs="Times New Roman"/>
                <w:sz w:val="21"/>
                <w:lang w:val="ru-RU"/>
              </w:rPr>
              <w:t>1 200</w:t>
            </w:r>
          </w:p>
        </w:tc>
        <w:tc>
          <w:tcPr>
            <w:tcW w:w="1701" w:type="dxa"/>
            <w:vAlign w:val="center"/>
          </w:tcPr>
          <w:p w:rsidR="002D0746" w:rsidRDefault="004D7EE4">
            <w:pPr>
              <w:keepNext/>
              <w:spacing w:after="0" w:line="240" w:lineRule="auto"/>
              <w:ind w:firstLine="0"/>
              <w:jc w:val="center"/>
            </w:pPr>
            <w:r>
              <w:rPr>
                <w:rFonts w:eastAsia="Times New Roman" w:cs="Times New Roman"/>
                <w:sz w:val="21"/>
                <w:lang w:val="ru-RU"/>
              </w:rPr>
              <w:t>3 800</w:t>
            </w:r>
          </w:p>
        </w:tc>
      </w:tr>
      <w:tr w:rsidR="002D0746">
        <w:trPr>
          <w:cantSplit/>
          <w:jc w:val="center"/>
        </w:trPr>
        <w:tc>
          <w:tcPr>
            <w:tcW w:w="4365" w:type="dxa"/>
            <w:vAlign w:val="center"/>
          </w:tcPr>
          <w:p w:rsidR="002D0746" w:rsidRDefault="004D7EE4">
            <w:pPr>
              <w:keepNext/>
              <w:spacing w:after="0" w:line="240" w:lineRule="auto"/>
              <w:ind w:firstLine="0"/>
            </w:pPr>
            <w:r>
              <w:rPr>
                <w:rFonts w:eastAsia="Times New Roman" w:cs="Times New Roman"/>
                <w:sz w:val="21"/>
                <w:lang w:val="ru-RU"/>
              </w:rPr>
              <w:t>Получены материалы на 300</w:t>
            </w:r>
          </w:p>
        </w:tc>
        <w:tc>
          <w:tcPr>
            <w:tcW w:w="1701" w:type="dxa"/>
            <w:vAlign w:val="center"/>
          </w:tcPr>
          <w:p w:rsidR="002D0746" w:rsidRDefault="004D7EE4">
            <w:pPr>
              <w:keepNext/>
              <w:spacing w:after="0" w:line="240" w:lineRule="auto"/>
              <w:ind w:firstLine="0"/>
              <w:jc w:val="center"/>
            </w:pPr>
            <w:r>
              <w:rPr>
                <w:rFonts w:eastAsia="Times New Roman" w:cs="Times New Roman"/>
                <w:sz w:val="21"/>
                <w:lang w:val="ru-RU"/>
              </w:rPr>
              <w:t>5 300</w:t>
            </w:r>
          </w:p>
        </w:tc>
        <w:tc>
          <w:tcPr>
            <w:tcW w:w="1701" w:type="dxa"/>
            <w:vAlign w:val="center"/>
          </w:tcPr>
          <w:p w:rsidR="002D0746" w:rsidRDefault="004D7EE4">
            <w:pPr>
              <w:keepNext/>
              <w:spacing w:after="0" w:line="240" w:lineRule="auto"/>
              <w:ind w:firstLine="0"/>
              <w:jc w:val="center"/>
            </w:pPr>
            <w:r>
              <w:rPr>
                <w:rFonts w:eastAsia="Times New Roman" w:cs="Times New Roman"/>
                <w:sz w:val="21"/>
                <w:lang w:val="ru-RU"/>
              </w:rPr>
              <w:t>1 500</w:t>
            </w:r>
          </w:p>
        </w:tc>
        <w:tc>
          <w:tcPr>
            <w:tcW w:w="1701" w:type="dxa"/>
            <w:vAlign w:val="center"/>
          </w:tcPr>
          <w:p w:rsidR="002D0746" w:rsidRDefault="004D7EE4">
            <w:pPr>
              <w:keepNext/>
              <w:spacing w:after="0" w:line="240" w:lineRule="auto"/>
              <w:ind w:firstLine="0"/>
              <w:jc w:val="center"/>
            </w:pPr>
            <w:r>
              <w:rPr>
                <w:rFonts w:eastAsia="Times New Roman" w:cs="Times New Roman"/>
                <w:sz w:val="21"/>
                <w:lang w:val="ru-RU"/>
              </w:rPr>
              <w:t>3 800</w:t>
            </w:r>
          </w:p>
        </w:tc>
      </w:tr>
      <w:tr w:rsidR="002D0746">
        <w:trPr>
          <w:cantSplit/>
          <w:jc w:val="center"/>
        </w:trPr>
        <w:tc>
          <w:tcPr>
            <w:tcW w:w="4365" w:type="dxa"/>
            <w:vAlign w:val="center"/>
          </w:tcPr>
          <w:p w:rsidR="002D0746" w:rsidRDefault="004D7EE4">
            <w:pPr>
              <w:keepNext/>
              <w:spacing w:after="0" w:line="240" w:lineRule="auto"/>
              <w:ind w:firstLine="0"/>
            </w:pPr>
            <w:r>
              <w:rPr>
                <w:rFonts w:eastAsia="Times New Roman" w:cs="Times New Roman"/>
                <w:sz w:val="21"/>
                <w:lang w:val="ru-RU"/>
              </w:rPr>
              <w:t>Использованы материалы на 120</w:t>
            </w:r>
          </w:p>
        </w:tc>
        <w:tc>
          <w:tcPr>
            <w:tcW w:w="1701" w:type="dxa"/>
            <w:vAlign w:val="center"/>
          </w:tcPr>
          <w:p w:rsidR="002D0746" w:rsidRDefault="004D7EE4">
            <w:pPr>
              <w:keepNext/>
              <w:spacing w:after="0" w:line="240" w:lineRule="auto"/>
              <w:ind w:firstLine="0"/>
              <w:jc w:val="center"/>
            </w:pPr>
            <w:r>
              <w:rPr>
                <w:rFonts w:eastAsia="Times New Roman" w:cs="Times New Roman"/>
                <w:sz w:val="21"/>
                <w:lang w:val="ru-RU"/>
              </w:rPr>
              <w:t>5 180</w:t>
            </w:r>
          </w:p>
        </w:tc>
        <w:tc>
          <w:tcPr>
            <w:tcW w:w="1701" w:type="dxa"/>
            <w:vAlign w:val="center"/>
          </w:tcPr>
          <w:p w:rsidR="002D0746" w:rsidRDefault="004D7EE4">
            <w:pPr>
              <w:keepNext/>
              <w:spacing w:after="0" w:line="240" w:lineRule="auto"/>
              <w:ind w:firstLine="0"/>
              <w:jc w:val="center"/>
            </w:pPr>
            <w:r>
              <w:rPr>
                <w:rFonts w:eastAsia="Times New Roman" w:cs="Times New Roman"/>
                <w:sz w:val="21"/>
                <w:lang w:val="ru-RU"/>
              </w:rPr>
              <w:t>1 500</w:t>
            </w:r>
          </w:p>
        </w:tc>
        <w:tc>
          <w:tcPr>
            <w:tcW w:w="1701" w:type="dxa"/>
            <w:vAlign w:val="center"/>
          </w:tcPr>
          <w:p w:rsidR="002D0746" w:rsidRDefault="004D7EE4">
            <w:pPr>
              <w:keepNext/>
              <w:spacing w:after="0" w:line="240" w:lineRule="auto"/>
              <w:ind w:firstLine="0"/>
              <w:jc w:val="center"/>
            </w:pPr>
            <w:r>
              <w:rPr>
                <w:rFonts w:eastAsia="Times New Roman" w:cs="Times New Roman"/>
                <w:sz w:val="21"/>
                <w:lang w:val="ru-RU"/>
              </w:rPr>
              <w:t>3 680</w:t>
            </w:r>
          </w:p>
        </w:tc>
      </w:tr>
      <w:tr w:rsidR="002D0746">
        <w:trPr>
          <w:cantSplit/>
          <w:jc w:val="center"/>
        </w:trPr>
        <w:tc>
          <w:tcPr>
            <w:tcW w:w="4365" w:type="dxa"/>
            <w:vAlign w:val="center"/>
          </w:tcPr>
          <w:p w:rsidR="002D0746" w:rsidRDefault="004D7EE4">
            <w:pPr>
              <w:spacing w:after="0" w:line="240" w:lineRule="auto"/>
              <w:ind w:firstLine="0"/>
            </w:pPr>
            <w:r>
              <w:rPr>
                <w:rFonts w:eastAsia="Times New Roman" w:cs="Times New Roman"/>
                <w:sz w:val="21"/>
                <w:lang w:val="ru-RU"/>
              </w:rPr>
              <w:t>Оплачено поставщику 200</w:t>
            </w:r>
          </w:p>
        </w:tc>
        <w:tc>
          <w:tcPr>
            <w:tcW w:w="1701" w:type="dxa"/>
            <w:vAlign w:val="center"/>
          </w:tcPr>
          <w:p w:rsidR="002D0746" w:rsidRDefault="004D7EE4">
            <w:pPr>
              <w:spacing w:after="0" w:line="240" w:lineRule="auto"/>
              <w:ind w:firstLine="0"/>
              <w:jc w:val="center"/>
            </w:pPr>
            <w:r>
              <w:rPr>
                <w:rFonts w:eastAsia="Times New Roman" w:cs="Times New Roman"/>
                <w:sz w:val="21"/>
                <w:lang w:val="ru-RU"/>
              </w:rPr>
              <w:t>4 980</w:t>
            </w:r>
          </w:p>
        </w:tc>
        <w:tc>
          <w:tcPr>
            <w:tcW w:w="1701" w:type="dxa"/>
            <w:vAlign w:val="center"/>
          </w:tcPr>
          <w:p w:rsidR="002D0746" w:rsidRDefault="004D7EE4">
            <w:pPr>
              <w:spacing w:after="0" w:line="240" w:lineRule="auto"/>
              <w:ind w:firstLine="0"/>
              <w:jc w:val="center"/>
            </w:pPr>
            <w:r>
              <w:rPr>
                <w:rFonts w:eastAsia="Times New Roman" w:cs="Times New Roman"/>
                <w:sz w:val="21"/>
                <w:lang w:val="ru-RU"/>
              </w:rPr>
              <w:t>1 300</w:t>
            </w:r>
          </w:p>
        </w:tc>
        <w:tc>
          <w:tcPr>
            <w:tcW w:w="1701" w:type="dxa"/>
            <w:vAlign w:val="center"/>
          </w:tcPr>
          <w:p w:rsidR="002D0746" w:rsidRDefault="004D7EE4">
            <w:pPr>
              <w:spacing w:after="0" w:line="240" w:lineRule="auto"/>
              <w:ind w:firstLine="0"/>
              <w:jc w:val="center"/>
            </w:pPr>
            <w:r>
              <w:rPr>
                <w:rFonts w:eastAsia="Times New Roman" w:cs="Times New Roman"/>
                <w:sz w:val="21"/>
                <w:lang w:val="ru-RU"/>
              </w:rPr>
              <w:t>3 680</w:t>
            </w:r>
          </w:p>
        </w:tc>
      </w:tr>
    </w:tbl>
    <w:p w:rsidR="002D0746" w:rsidRDefault="002D0746">
      <w:pPr>
        <w:spacing w:line="20" w:lineRule="exact"/>
        <w:ind w:firstLine="0"/>
      </w:pPr>
    </w:p>
    <w:p w:rsidR="007C1BB7" w:rsidRDefault="007C1BB7">
      <w:pPr>
        <w:jc w:val="both"/>
        <w:rPr>
          <w:rFonts w:eastAsia="Times New Roman" w:cs="Times New Roman"/>
          <w:lang w:val="ru-RU"/>
        </w:rPr>
      </w:pPr>
    </w:p>
    <w:p w:rsidR="002D0746" w:rsidRDefault="004D7EE4">
      <w:pPr>
        <w:jc w:val="both"/>
      </w:pPr>
      <w:bookmarkStart w:id="0" w:name="_GoBack"/>
      <w:bookmarkEnd w:id="0"/>
      <w:r>
        <w:rPr>
          <w:rFonts w:eastAsia="Times New Roman" w:cs="Times New Roman"/>
          <w:lang w:val="ru-RU"/>
        </w:rPr>
        <w:t>Для прочих материалов записи имеют вид: Дт 1319 Кт 3210 — 300; Дт 7060 Кт 1319 — 120. Погашение долга на 200 отражается по дебету 3210 и кредиту соответствующего счета оплаты. Например, при правомерном использовании средств КСН платных услуг — Кт 1042. При бюджетном обеспечении используется предусмотренная Планом счетов корреспонденция плановых назначений. Остаток задолженности по новой поставке — 100. [Н4]</w:t>
      </w:r>
    </w:p>
    <w:p w:rsidR="002D0746" w:rsidRDefault="004D7EE4">
      <w:pPr>
        <w:pStyle w:val="1"/>
      </w:pPr>
      <w:r>
        <w:rPr>
          <w:rFonts w:ascii="Times New Roman" w:eastAsia="Times New Roman" w:hAnsi="Times New Roman" w:cs="Times New Roman"/>
          <w:lang w:val="ru-RU"/>
        </w:rPr>
        <w:t>6 Организация учетного процесса</w:t>
      </w:r>
    </w:p>
    <w:p w:rsidR="002D0746" w:rsidRDefault="004D7EE4">
      <w:pPr>
        <w:jc w:val="both"/>
      </w:pPr>
      <w:r>
        <w:rPr>
          <w:rFonts w:eastAsia="Times New Roman" w:cs="Times New Roman"/>
          <w:lang w:val="ru-RU"/>
        </w:rPr>
        <w:t>Учетная цепочка начинается с реального события и первичного документа, продолжается проверкой, классификацией, записью и заканчивается отчетностью и использованием информации. На каждом этапе нужен ответственный: инициатор подтверждает потребность, приемка — факт исполнения, бухгалтер — учетную классификацию, уполномоченное лицо — согласование платежа. Совмещение всех функций одним исполнителем повышает риск ошибки и злоупотребления.</w:t>
      </w:r>
    </w:p>
    <w:p w:rsidR="002D0746" w:rsidRDefault="004D7EE4">
      <w:pPr>
        <w:jc w:val="both"/>
      </w:pPr>
      <w:r>
        <w:rPr>
          <w:rFonts w:eastAsia="Times New Roman" w:cs="Times New Roman"/>
          <w:lang w:val="ru-RU"/>
        </w:rPr>
        <w:t>Руководитель организует условия для надежного учета; бухгалтерская служба формирует записи и отчетность; владельцы процессов передают достоверные документы. Контроль включает сверку остатков, проверку полномочий, подтверждение имущества и анализ необычных операций. Исправление ошибки должно оставлять проверяемую историю и основание изменения.</w:t>
      </w:r>
    </w:p>
    <w:p w:rsidR="00E624B9" w:rsidRDefault="00BE47C0">
      <w:pPr>
        <w:jc w:val="both"/>
      </w:pPr>
      <w:r>
        <w:rPr>
          <w:rFonts w:eastAsia="Times New Roman" w:cs="Times New Roman"/>
          <w:lang w:val="ru-RU"/>
        </w:rPr>
        <w:t>Первичный документ составляется при совершении операции или непосредственно после н</w:t>
      </w:r>
      <w:r>
        <w:rPr>
          <w:rFonts w:eastAsia="Times New Roman" w:cs="Times New Roman"/>
          <w:lang w:val="ru-RU"/>
        </w:rPr>
        <w:t>ее и содержит предусмотренные реквизиты: название, дату, содержание, количественные и стоимостные измерители, сведения об ответственных лицах и их подписи. Запись в регистре должна позволять установить документ-основание. В соответствии с Правилами № 223 д</w:t>
      </w:r>
      <w:r>
        <w:rPr>
          <w:rFonts w:eastAsia="Times New Roman" w:cs="Times New Roman"/>
          <w:lang w:val="ru-RU"/>
        </w:rPr>
        <w:t>анные первичных документов вносятся в регистры не позднее следующего дня после их получения; по окончании месяца подсчитываются обороты и остатки. [Н3, Н7]</w:t>
      </w:r>
    </w:p>
    <w:p w:rsidR="002D0746" w:rsidRDefault="004D7EE4">
      <w:pPr>
        <w:pStyle w:val="1"/>
      </w:pPr>
      <w:r>
        <w:rPr>
          <w:rFonts w:ascii="Times New Roman" w:eastAsia="Times New Roman" w:hAnsi="Times New Roman" w:cs="Times New Roman"/>
          <w:lang w:val="ru-RU"/>
        </w:rPr>
        <w:t>Частые ошибки</w:t>
      </w:r>
    </w:p>
    <w:p w:rsidR="002D0746" w:rsidRDefault="004D7EE4">
      <w:pPr>
        <w:pStyle w:val="a0"/>
        <w:ind w:left="510" w:hanging="170"/>
        <w:jc w:val="both"/>
      </w:pPr>
      <w:r>
        <w:rPr>
          <w:rFonts w:eastAsia="Times New Roman" w:cs="Times New Roman"/>
          <w:lang w:val="ru-RU"/>
        </w:rPr>
        <w:t>Приравнивать все организации с государственным финансированием к государственным учреждениям.</w:t>
      </w:r>
    </w:p>
    <w:p w:rsidR="002D0746" w:rsidRDefault="004D7EE4">
      <w:pPr>
        <w:pStyle w:val="a0"/>
        <w:ind w:left="510" w:hanging="170"/>
        <w:jc w:val="both"/>
      </w:pPr>
      <w:r>
        <w:rPr>
          <w:rFonts w:eastAsia="Times New Roman" w:cs="Times New Roman"/>
          <w:lang w:val="ru-RU"/>
        </w:rPr>
        <w:t>Считать совпадение дебета и кредита доказательством отсутствия ошибок.</w:t>
      </w:r>
    </w:p>
    <w:p w:rsidR="002D0746" w:rsidRDefault="004D7EE4">
      <w:pPr>
        <w:pStyle w:val="a0"/>
        <w:ind w:left="510" w:hanging="170"/>
        <w:jc w:val="both"/>
      </w:pPr>
      <w:r>
        <w:rPr>
          <w:rFonts w:eastAsia="Times New Roman" w:cs="Times New Roman"/>
          <w:lang w:val="ru-RU"/>
        </w:rPr>
        <w:t>Признавать расход повторно при оплате уже учтенной задолженности.</w:t>
      </w:r>
    </w:p>
    <w:p w:rsidR="002D0746" w:rsidRDefault="004D7EE4">
      <w:pPr>
        <w:pStyle w:val="a0"/>
        <w:ind w:left="510" w:hanging="170"/>
        <w:jc w:val="both"/>
      </w:pPr>
      <w:r>
        <w:rPr>
          <w:rFonts w:eastAsia="Times New Roman" w:cs="Times New Roman"/>
          <w:lang w:val="ru-RU"/>
        </w:rPr>
        <w:t>Переносить устаревший план счетов в учет 2026 года без проверки.</w:t>
      </w:r>
    </w:p>
    <w:p w:rsidR="002D0746" w:rsidRDefault="004D7EE4">
      <w:pPr>
        <w:pStyle w:val="1"/>
      </w:pPr>
      <w:r>
        <w:rPr>
          <w:rFonts w:ascii="Times New Roman" w:eastAsia="Times New Roman" w:hAnsi="Times New Roman" w:cs="Times New Roman"/>
          <w:lang w:val="ru-RU"/>
        </w:rPr>
        <w:t>Вопросы для обсуждения</w:t>
      </w:r>
    </w:p>
    <w:p w:rsidR="002D0746" w:rsidRDefault="004D7EE4">
      <w:pPr>
        <w:jc w:val="both"/>
      </w:pPr>
      <w:r>
        <w:rPr>
          <w:rFonts w:eastAsia="Times New Roman" w:cs="Times New Roman"/>
          <w:lang w:val="ru-RU"/>
        </w:rPr>
        <w:t>1. Почему бесплатная общественная услуга может требовать признания актива?</w:t>
      </w:r>
    </w:p>
    <w:p w:rsidR="002D0746" w:rsidRDefault="004D7EE4">
      <w:pPr>
        <w:jc w:val="both"/>
      </w:pPr>
      <w:r>
        <w:rPr>
          <w:rFonts w:eastAsia="Times New Roman" w:cs="Times New Roman"/>
          <w:lang w:val="ru-RU"/>
        </w:rPr>
        <w:t>2. Чем отличаются бухгалтерский счет и бюджетная классификация?</w:t>
      </w:r>
    </w:p>
    <w:p w:rsidR="002D0746" w:rsidRDefault="004D7EE4">
      <w:pPr>
        <w:jc w:val="both"/>
      </w:pPr>
      <w:r>
        <w:rPr>
          <w:rFonts w:eastAsia="Times New Roman" w:cs="Times New Roman"/>
          <w:lang w:val="ru-RU"/>
        </w:rPr>
        <w:t>3. Что показывает увеличение обязательств без изменения чистых активов?</w:t>
      </w:r>
    </w:p>
    <w:p w:rsidR="002D0746" w:rsidRDefault="004D7EE4">
      <w:pPr>
        <w:jc w:val="both"/>
      </w:pPr>
      <w:r>
        <w:rPr>
          <w:rFonts w:eastAsia="Times New Roman" w:cs="Times New Roman"/>
          <w:lang w:val="ru-RU"/>
        </w:rPr>
        <w:t>4. Почему правильно оформленная запись может описывать несуществующую операцию?</w:t>
      </w:r>
    </w:p>
    <w:p w:rsidR="002D0746" w:rsidRDefault="004D7EE4">
      <w:pPr>
        <w:jc w:val="both"/>
      </w:pPr>
      <w:r>
        <w:rPr>
          <w:rFonts w:eastAsia="Times New Roman" w:cs="Times New Roman"/>
          <w:lang w:val="ru-RU"/>
        </w:rPr>
        <w:t>5. Какие признаки подтверждают актуальность нормативного источника?</w:t>
      </w:r>
    </w:p>
    <w:p w:rsidR="002D0746" w:rsidRDefault="004D7EE4">
      <w:pPr>
        <w:pStyle w:val="1"/>
      </w:pPr>
      <w:r>
        <w:rPr>
          <w:rFonts w:ascii="Times New Roman" w:eastAsia="Times New Roman" w:hAnsi="Times New Roman" w:cs="Times New Roman"/>
          <w:lang w:val="ru-RU"/>
        </w:rPr>
        <w:t>Самопроверка</w:t>
      </w:r>
    </w:p>
    <w:p w:rsidR="002D0746" w:rsidRDefault="004D7EE4">
      <w:pPr>
        <w:jc w:val="both"/>
      </w:pPr>
      <w:r>
        <w:rPr>
          <w:rFonts w:eastAsia="Times New Roman" w:cs="Times New Roman"/>
          <w:lang w:val="ru-RU"/>
        </w:rPr>
        <w:t>Учреждение получило материалы на 180 тыс. тенге и до конца периода использовало 50. Оплата еще не произведена. Как изменится баланс?</w:t>
      </w:r>
    </w:p>
    <w:p w:rsidR="002D0746" w:rsidRDefault="004D7EE4">
      <w:pPr>
        <w:jc w:val="both"/>
      </w:pPr>
      <w:r>
        <w:rPr>
          <w:rFonts w:eastAsia="Times New Roman" w:cs="Times New Roman"/>
          <w:b/>
          <w:lang w:val="ru-RU"/>
        </w:rPr>
        <w:t>Ответ.</w:t>
      </w:r>
      <w:r>
        <w:rPr>
          <w:rFonts w:eastAsia="Times New Roman" w:cs="Times New Roman"/>
          <w:lang w:val="ru-RU"/>
        </w:rPr>
        <w:t xml:space="preserve"> Активы увеличатся на 130, обязательства — на 180, чистые активы уменьшатся на 50. Расход периода равен 50, а не 180. Остаток материалов подтверждается количественно и суммово.</w:t>
      </w:r>
    </w:p>
    <w:p w:rsidR="002D0746" w:rsidRDefault="004D7EE4">
      <w:pPr>
        <w:pStyle w:val="1"/>
      </w:pPr>
      <w:r>
        <w:rPr>
          <w:rFonts w:ascii="Times New Roman" w:eastAsia="Times New Roman" w:hAnsi="Times New Roman" w:cs="Times New Roman"/>
          <w:lang w:val="ru-RU"/>
        </w:rPr>
        <w:t>Литература и нормативные источники</w:t>
      </w:r>
    </w:p>
    <w:p w:rsidR="00E624B9" w:rsidRDefault="00BE47C0">
      <w:pPr>
        <w:spacing w:after="40"/>
      </w:pPr>
      <w:r>
        <w:t>НПА приведены в редакциях, действующих на 27 октября 2026 года. МС</w:t>
      </w:r>
      <w:r>
        <w:t>ФО ОС — по материалам IPSASB; даты начала применения отдельных стандартов указаны в тексте.</w:t>
      </w:r>
    </w:p>
    <w:p w:rsidR="00E624B9" w:rsidRDefault="00BE47C0">
      <w:pPr>
        <w:spacing w:after="40"/>
      </w:pPr>
      <w:r>
        <w:t xml:space="preserve">[Н1] </w:t>
      </w:r>
      <w:hyperlink r:id="rId8">
        <w:r>
          <w:t>Бюджетный кодекс Республики Казахстан от 15 марта 2025 года № 171-VIII, статьи 130–132.</w:t>
        </w:r>
      </w:hyperlink>
    </w:p>
    <w:p w:rsidR="00E624B9" w:rsidRDefault="00BE47C0">
      <w:pPr>
        <w:spacing w:after="40"/>
      </w:pPr>
      <w:r>
        <w:t xml:space="preserve">[Н2] </w:t>
      </w:r>
      <w:hyperlink r:id="rId9">
        <w:r>
          <w:t>Закон РК от 28 февраля 2007 года № 234-III «О бухгалтерском учете и финансовой отчетности».</w:t>
        </w:r>
      </w:hyperlink>
    </w:p>
    <w:p w:rsidR="00E624B9" w:rsidRDefault="00BE47C0">
      <w:pPr>
        <w:spacing w:after="40"/>
      </w:pPr>
      <w:r>
        <w:t xml:space="preserve">[Н3] </w:t>
      </w:r>
      <w:hyperlink r:id="rId10">
        <w:r>
          <w:t>Приказ Министра финансов РК от 12 мая 2</w:t>
        </w:r>
        <w:r>
          <w:t>025 года № 223 «Об утверждении Правил ведения бухгалтерского учета в государственных учреждениях».</w:t>
        </w:r>
      </w:hyperlink>
    </w:p>
    <w:p w:rsidR="00E624B9" w:rsidRDefault="00BE47C0">
      <w:pPr>
        <w:spacing w:after="40"/>
      </w:pPr>
      <w:r>
        <w:t xml:space="preserve">[Н4] </w:t>
      </w:r>
      <w:hyperlink r:id="rId11">
        <w:r>
          <w:t>Приказ Министра финансов РК от 16 апреля 2025 года № 170 «Об утверждении Плана счетов бухг</w:t>
        </w:r>
        <w:r>
          <w:t>алтерского учета государственных учреждений».</w:t>
        </w:r>
      </w:hyperlink>
    </w:p>
    <w:p w:rsidR="00E624B9" w:rsidRDefault="00BE47C0">
      <w:pPr>
        <w:spacing w:after="40"/>
      </w:pPr>
      <w:r>
        <w:t xml:space="preserve">[Н5] </w:t>
      </w:r>
      <w:hyperlink r:id="rId12">
        <w:r>
          <w:t>Приказ Министра финансов РК от 24 апреля 2025 года № 191 «Об утверждении Учетной политики».</w:t>
        </w:r>
      </w:hyperlink>
    </w:p>
    <w:p w:rsidR="00E624B9" w:rsidRDefault="00BE47C0">
      <w:pPr>
        <w:spacing w:after="40"/>
      </w:pPr>
      <w:r>
        <w:t xml:space="preserve">[Н7] </w:t>
      </w:r>
      <w:hyperlink r:id="rId13">
        <w:r>
          <w:t>Приказ и.о. Министра финансов РК от 22 апреля 2025 года № 187 «Об утверждении форм бухгалтерской документации для государственных учреждений».</w:t>
        </w:r>
      </w:hyperlink>
    </w:p>
    <w:p w:rsidR="00E624B9" w:rsidRDefault="00BE47C0">
      <w:pPr>
        <w:spacing w:after="40"/>
      </w:pPr>
      <w:r>
        <w:t xml:space="preserve">[М0] </w:t>
      </w:r>
      <w:hyperlink r:id="rId14">
        <w:r>
          <w:t>IPSASB. Концептуальные основы финансовой отчетности общего назначения организаций общественного сектора. Сборник IPSASB 2026 года.</w:t>
        </w:r>
      </w:hyperlink>
    </w:p>
    <w:p w:rsidR="00E624B9" w:rsidRDefault="00BE47C0">
      <w:pPr>
        <w:spacing w:after="40"/>
      </w:pPr>
      <w:r>
        <w:t xml:space="preserve">[М1] </w:t>
      </w:r>
      <w:hyperlink r:id="rId15">
        <w:r>
          <w:t>МСФО ОС (IPSAS) 1 «Представление финансовой отчетности». IPSASB, редакция сборника 2026 года.</w:t>
        </w:r>
      </w:hyperlink>
    </w:p>
    <w:p w:rsidR="00E624B9" w:rsidRDefault="00BE47C0">
      <w:pPr>
        <w:spacing w:after="40"/>
      </w:pPr>
      <w:r>
        <w:t xml:space="preserve">[М45] </w:t>
      </w:r>
      <w:hyperlink r:id="rId16">
        <w:r>
          <w:t>МСФО ОС (IPSAS) 45 «Основные средства». IPSASB, редакция сборника 2026 года.</w:t>
        </w:r>
      </w:hyperlink>
    </w:p>
    <w:p w:rsidR="00E624B9" w:rsidRDefault="00BE47C0">
      <w:pPr>
        <w:spacing w:after="40"/>
      </w:pPr>
      <w:r>
        <w:t xml:space="preserve">[М46] </w:t>
      </w:r>
      <w:hyperlink r:id="rId17">
        <w:r>
          <w:t>МСФО ОС (IPSAS) 46 «Оценка». IPSASB, редакция сбор</w:t>
        </w:r>
        <w:r>
          <w:t>ника 2026 года.</w:t>
        </w:r>
      </w:hyperlink>
    </w:p>
    <w:p w:rsidR="00E624B9" w:rsidRDefault="00BE47C0">
      <w:pPr>
        <w:spacing w:after="40"/>
      </w:pPr>
      <w:r>
        <w:t xml:space="preserve">[М47] </w:t>
      </w:r>
      <w:hyperlink r:id="rId18">
        <w:r>
          <w:t>МСФО ОС (IPSAS) 47 «Доходы». IPSASB, редакция сборника 2026 года.</w:t>
        </w:r>
      </w:hyperlink>
    </w:p>
    <w:p w:rsidR="00E624B9" w:rsidRDefault="00BE47C0">
      <w:pPr>
        <w:spacing w:after="40"/>
      </w:pPr>
      <w:r>
        <w:t xml:space="preserve">[М48] </w:t>
      </w:r>
      <w:hyperlink r:id="rId19">
        <w:r>
          <w:t xml:space="preserve">МСФО ОС </w:t>
        </w:r>
        <w:r>
          <w:t>(IPSAS) 48 «Трансфертные расходы». IPSASB, редакция сборника 2026 года.</w:t>
        </w:r>
      </w:hyperlink>
    </w:p>
    <w:p w:rsidR="00E624B9" w:rsidRDefault="00BE47C0">
      <w:pPr>
        <w:spacing w:after="40"/>
      </w:pPr>
      <w:r>
        <w:t>Учебная литература: [Л1] и [Л5] в программе курса.</w:t>
      </w:r>
    </w:p>
    <w:sectPr w:rsidR="00E624B9" w:rsidSect="00034616">
      <w:footerReference w:type="default" r:id="rId20"/>
      <w:pgSz w:w="11906" w:h="16838"/>
      <w:pgMar w:top="1134" w:right="1134" w:bottom="1134" w:left="130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7C0" w:rsidRDefault="00BE47C0">
      <w:pPr>
        <w:spacing w:after="0" w:line="240" w:lineRule="auto"/>
      </w:pPr>
      <w:r>
        <w:separator/>
      </w:r>
    </w:p>
  </w:endnote>
  <w:endnote w:type="continuationSeparator" w:id="0">
    <w:p w:rsidR="00BE47C0" w:rsidRDefault="00BE4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746" w:rsidRDefault="004D7EE4">
    <w:pPr>
      <w:pStyle w:val="a7"/>
      <w:jc w:val="right"/>
    </w:pPr>
    <w:r>
      <w:fldChar w:fldCharType="begin"/>
    </w:r>
    <w:r>
      <w:instrText>PAGE</w:instrText>
    </w:r>
    <w:r>
      <w:fldChar w:fldCharType="separate"/>
    </w:r>
    <w:r w:rsidR="00BE47C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7C0" w:rsidRDefault="00BE47C0">
      <w:pPr>
        <w:spacing w:after="0" w:line="240" w:lineRule="auto"/>
      </w:pPr>
      <w:r>
        <w:separator/>
      </w:r>
    </w:p>
  </w:footnote>
  <w:footnote w:type="continuationSeparator" w:id="0">
    <w:p w:rsidR="00BE47C0" w:rsidRDefault="00BE47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D0746"/>
    <w:rsid w:val="00326F90"/>
    <w:rsid w:val="004D7EE4"/>
    <w:rsid w:val="007C1BB7"/>
    <w:rsid w:val="00AA1D8D"/>
    <w:rsid w:val="00B47730"/>
    <w:rsid w:val="00BE47C0"/>
    <w:rsid w:val="00C4687A"/>
    <w:rsid w:val="00C750FB"/>
    <w:rsid w:val="00CB0664"/>
    <w:rsid w:val="00E624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568CD8"/>
  <w14:defaultImageDpi w14:val="300"/>
  <w15:docId w15:val="{56046AEB-3F5A-48F4-BC2F-1E74041B4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line="264" w:lineRule="auto"/>
      <w:ind w:firstLine="709"/>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rFonts w:asciiTheme="majorHAnsi" w:eastAsiaTheme="majorEastAsia" w:hAnsiTheme="majorHAnsi" w:cstheme="majorBidi"/>
      <w:b/>
      <w:spacing w:val="5"/>
      <w:kern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2500000171" TargetMode="External"/><Relationship Id="rId13" Type="http://schemas.openxmlformats.org/officeDocument/2006/relationships/hyperlink" Target="https://adilet.zan.kz/rus/docs/G25E0000187" TargetMode="External"/><Relationship Id="rId18" Type="http://schemas.openxmlformats.org/officeDocument/2006/relationships/hyperlink" Target="https://www.ipsasb.org/publications/ipsas-47-revenu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dilet.zan.kz/rus/docs/G25E0000191" TargetMode="External"/><Relationship Id="rId17" Type="http://schemas.openxmlformats.org/officeDocument/2006/relationships/hyperlink" Target="https://www.ipsasb.org/publications/ipsas-46-measurement" TargetMode="External"/><Relationship Id="rId2" Type="http://schemas.openxmlformats.org/officeDocument/2006/relationships/numbering" Target="numbering.xml"/><Relationship Id="rId16" Type="http://schemas.openxmlformats.org/officeDocument/2006/relationships/hyperlink" Target="https://www.ipsasb.org/publications/ipsas-45-property-plant-and-equip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rus/docs/G25E0000170" TargetMode="External"/><Relationship Id="rId5" Type="http://schemas.openxmlformats.org/officeDocument/2006/relationships/webSettings" Target="webSettings.xml"/><Relationship Id="rId15" Type="http://schemas.openxmlformats.org/officeDocument/2006/relationships/hyperlink" Target="https://www.ipsasb.org/publications/2026-handbook-international-public-sector-accounting-standards-board-pronouncements" TargetMode="External"/><Relationship Id="rId10" Type="http://schemas.openxmlformats.org/officeDocument/2006/relationships/hyperlink" Target="https://adilet.zan.kz/rus/docs/G25E0000223" TargetMode="External"/><Relationship Id="rId19" Type="http://schemas.openxmlformats.org/officeDocument/2006/relationships/hyperlink" Target="https://www.ipsasb.org/publications/ipsas-48-transfer-expenses" TargetMode="External"/><Relationship Id="rId4" Type="http://schemas.openxmlformats.org/officeDocument/2006/relationships/settings" Target="settings.xml"/><Relationship Id="rId9" Type="http://schemas.openxmlformats.org/officeDocument/2006/relationships/hyperlink" Target="https://adilet.zan.kz/rus/docs/Z070000234_" TargetMode="External"/><Relationship Id="rId14" Type="http://schemas.openxmlformats.org/officeDocument/2006/relationships/hyperlink" Target="https://www.ipsasb.org/publications/2026-handbook-international-public-sector-accounting-standards-board-pronouncement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46DEC-2546-4420-B258-8AEC58779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2134</Words>
  <Characters>12167</Characters>
  <Application>Microsoft Office Word</Application>
  <DocSecurity>0</DocSecurity>
  <Lines>101</Lines>
  <Paragraphs>28</Paragraphs>
  <ScaleCrop>false</ScaleCrop>
  <HeadingPairs>
    <vt:vector size="6" baseType="variant">
      <vt:variant>
        <vt:lpstr>Название</vt:lpstr>
      </vt:variant>
      <vt:variant>
        <vt:i4>1</vt:i4>
      </vt:variant>
      <vt:variant>
        <vt:lpstr>Заголовки</vt:lpstr>
      </vt:variant>
      <vt:variant>
        <vt:i4>11</vt:i4>
      </vt:variant>
      <vt:variant>
        <vt:lpstr>Title</vt:lpstr>
      </vt:variant>
      <vt:variant>
        <vt:i4>1</vt:i4>
      </vt:variant>
    </vt:vector>
  </HeadingPairs>
  <TitlesOfParts>
    <vt:vector size="13" baseType="lpstr">
      <vt:lpstr>Теоретические и правовые основы бухгалтерского учета в бюджетных организациях</vt:lpstr>
      <vt:lpstr>1 Государственное учреждение как объект учета</vt:lpstr>
      <vt:lpstr>2 Нормативная система и ее применение</vt:lpstr>
      <vt:lpstr>    МСФО ОС и национальное регулирование</vt:lpstr>
      <vt:lpstr>3 Объекты учета и основные взаимосвязи</vt:lpstr>
      <vt:lpstr>4 Счета двойная запись и аналитика</vt:lpstr>
      <vt:lpstr>5 Разобранный пример изменения баланса</vt:lpstr>
      <vt:lpstr>6 Организация учетного процесса</vt:lpstr>
      <vt:lpstr>Частые ошибки</vt:lpstr>
      <vt:lpstr>Вопросы для обсуждения</vt:lpstr>
      <vt:lpstr>Самопроверка</vt:lpstr>
      <vt:lpstr>Литература и нормативные источники</vt:lpstr>
      <vt:lpstr/>
    </vt:vector>
  </TitlesOfParts>
  <Manager/>
  <Company/>
  <LinksUpToDate>false</LinksUpToDate>
  <CharactersWithSpaces>14273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Теоретические и правовые основы бухгалтерского учета в бюджетных организациях</dc:title>
  <dc:subject>Бухгалтерский учет в бюджетных организациях</dc:subject>
  <dc:creator/>
  <cp:keywords>Казахстан; государственные учреждения; учет; лекции; 2026</cp:keywords>
  <dc:description>generated by python-docx</dc:description>
  <cp:lastModifiedBy>Гульжан Байтикенова</cp:lastModifiedBy>
  <cp:revision>4</cp:revision>
  <dcterms:created xsi:type="dcterms:W3CDTF">2013-12-23T23:15:00Z</dcterms:created>
  <dcterms:modified xsi:type="dcterms:W3CDTF">2026-10-27T12:20:00Z</dcterms:modified>
  <cp:category/>
</cp:coreProperties>
</file>