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3C0B1" w14:textId="77777777" w:rsidR="00301726" w:rsidRDefault="00000000" w:rsidP="00301726">
      <w:pPr>
        <w:pStyle w:val="aa"/>
      </w:pPr>
      <w:r>
        <w:t>Бренд-сообщества, совместное создание продуктов и экономическая устойчивость</w:t>
      </w:r>
    </w:p>
    <w:p w14:paraId="38E93724" w14:textId="77777777" w:rsidR="00301726" w:rsidRDefault="00301726" w:rsidP="00301726">
      <w:pPr>
        <w:pStyle w:val="aa"/>
      </w:pPr>
    </w:p>
    <w:p w14:paraId="5C5A9403" w14:textId="44241FEA" w:rsidR="0016212F" w:rsidRDefault="00000000" w:rsidP="00301726">
      <w:pPr>
        <w:pStyle w:val="aa"/>
      </w:pPr>
      <w:r>
        <w:t>1. Модели ценности и обещания</w:t>
      </w:r>
    </w:p>
    <w:p w14:paraId="19ED3100" w14:textId="77777777" w:rsidR="0016212F" w:rsidRDefault="00000000">
      <w:r>
        <w:t>Сообщество вокруг бренда помогает использовать продукт, обмениваться опытом и предлагать улучшения. Организация может получать знания о затруднениях и развивать отношения. Эти результаты не возникают автоматически из числа подписчиков.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16212F" w14:paraId="2656F4EF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7D94C8" w14:textId="77777777" w:rsidR="0016212F" w:rsidRDefault="00000000">
            <w:pPr>
              <w:pStyle w:val="TableText"/>
            </w:pPr>
            <w:r>
              <w:rPr>
                <w:b/>
                <w:color w:val="FFFFFF"/>
              </w:rPr>
              <w:t>Модель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C196F2" w14:textId="77777777" w:rsidR="0016212F" w:rsidRDefault="00000000">
            <w:pPr>
              <w:pStyle w:val="TableText"/>
            </w:pPr>
            <w:r>
              <w:rPr>
                <w:b/>
                <w:color w:val="FFFFFF"/>
              </w:rPr>
              <w:t>Польза человеку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C89709" w14:textId="77777777" w:rsidR="0016212F" w:rsidRDefault="00000000">
            <w:pPr>
              <w:pStyle w:val="TableText"/>
            </w:pPr>
            <w:r>
              <w:rPr>
                <w:b/>
                <w:color w:val="FFFFFF"/>
              </w:rPr>
              <w:t>Что уточнить</w:t>
            </w:r>
          </w:p>
        </w:tc>
      </w:tr>
      <w:tr w:rsidR="0016212F" w14:paraId="327C4B72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FF454B" w14:textId="77777777" w:rsidR="0016212F" w:rsidRDefault="00000000">
            <w:pPr>
              <w:pStyle w:val="TableText"/>
            </w:pPr>
            <w:r>
              <w:t>Взаимопомощь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125199" w14:textId="77777777" w:rsidR="0016212F" w:rsidRDefault="00000000">
            <w:pPr>
              <w:pStyle w:val="TableText"/>
            </w:pPr>
            <w:r>
              <w:t>Практический опыт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D11E18" w14:textId="77777777" w:rsidR="0016212F" w:rsidRDefault="00000000">
            <w:pPr>
              <w:pStyle w:val="TableText"/>
            </w:pPr>
            <w:r>
              <w:t>Где нужна официальная поддержка</w:t>
            </w:r>
          </w:p>
        </w:tc>
      </w:tr>
      <w:tr w:rsidR="0016212F" w14:paraId="18E6EADF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672E40" w14:textId="77777777" w:rsidR="0016212F" w:rsidRDefault="00000000">
            <w:pPr>
              <w:pStyle w:val="TableText"/>
            </w:pPr>
            <w:r>
              <w:t>Обучение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664549" w14:textId="77777777" w:rsidR="0016212F" w:rsidRDefault="00000000">
            <w:pPr>
              <w:pStyle w:val="TableText"/>
            </w:pPr>
            <w:r>
              <w:t>Навык и обратная связь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7CDAE8" w14:textId="77777777" w:rsidR="0016212F" w:rsidRDefault="00000000">
            <w:pPr>
              <w:pStyle w:val="TableText"/>
            </w:pPr>
            <w:r>
              <w:t>Состав бесплатного и платного</w:t>
            </w:r>
          </w:p>
        </w:tc>
      </w:tr>
      <w:tr w:rsidR="0016212F" w14:paraId="0C32C78F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CD38C3" w14:textId="77777777" w:rsidR="0016212F" w:rsidRDefault="00000000">
            <w:pPr>
              <w:pStyle w:val="TableText"/>
            </w:pPr>
            <w:r>
              <w:t>Совместное создание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07832D" w14:textId="77777777" w:rsidR="0016212F" w:rsidRDefault="00000000">
            <w:pPr>
              <w:pStyle w:val="TableText"/>
            </w:pPr>
            <w:r>
              <w:t>Развитие идеи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405CBE" w14:textId="77777777" w:rsidR="0016212F" w:rsidRDefault="00000000">
            <w:pPr>
              <w:pStyle w:val="TableText"/>
            </w:pPr>
            <w:r>
              <w:t>Отбор и авторство</w:t>
            </w:r>
          </w:p>
        </w:tc>
      </w:tr>
      <w:tr w:rsidR="0016212F" w14:paraId="038EA2EE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1E66F5" w14:textId="77777777" w:rsidR="0016212F" w:rsidRDefault="00000000">
            <w:pPr>
              <w:pStyle w:val="TableText"/>
            </w:pPr>
            <w:r>
              <w:t>Профессиональная сеть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608CB7" w14:textId="77777777" w:rsidR="0016212F" w:rsidRDefault="00000000">
            <w:pPr>
              <w:pStyle w:val="TableText"/>
            </w:pPr>
            <w:r>
              <w:t>Партнеры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02F570" w14:textId="77777777" w:rsidR="0016212F" w:rsidRDefault="00000000">
            <w:pPr>
              <w:pStyle w:val="TableText"/>
            </w:pPr>
            <w:r>
              <w:t>Коммерческий интерес</w:t>
            </w:r>
          </w:p>
        </w:tc>
      </w:tr>
      <w:tr w:rsidR="0016212F" w14:paraId="12EC65F7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0D44C1" w14:textId="77777777" w:rsidR="0016212F" w:rsidRDefault="00000000">
            <w:pPr>
              <w:pStyle w:val="TableText"/>
            </w:pPr>
            <w:r>
              <w:t>Общая миссия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134DBF" w14:textId="77777777" w:rsidR="0016212F" w:rsidRDefault="00000000">
            <w:pPr>
              <w:pStyle w:val="TableText"/>
            </w:pPr>
            <w:r>
              <w:t>Полезный вклад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9A639D" w14:textId="77777777" w:rsidR="0016212F" w:rsidRDefault="00000000">
            <w:pPr>
              <w:pStyle w:val="TableText"/>
            </w:pPr>
            <w:r>
              <w:t>Расходование ресурса</w:t>
            </w:r>
          </w:p>
        </w:tc>
      </w:tr>
    </w:tbl>
    <w:p w14:paraId="121065BD" w14:textId="77777777" w:rsidR="0016212F" w:rsidRDefault="0016212F">
      <w:pPr>
        <w:spacing w:after="20" w:line="20" w:lineRule="exact"/>
      </w:pPr>
    </w:p>
    <w:p w14:paraId="1A1BAF32" w14:textId="77777777" w:rsidR="0016212F" w:rsidRDefault="00000000">
      <w:r>
        <w:t>Бесплатный формат имеет затраты времени, инструментов, модерации и проверки. Платный не означает иммунитета от правил. Пользу и права разграничивают до запуска, а не после получения денег.</w:t>
      </w:r>
    </w:p>
    <w:p w14:paraId="331CD919" w14:textId="77777777" w:rsidR="0016212F" w:rsidRDefault="00000000">
      <w:r>
        <w:t>Обязательство описывает конкретные материалы, мероприятия или помощь, не гарантированный успех. Если часть результата зависит от добровольных ответов, это объясняется. Коллективный вклад нельзя выдавать за неограниченный официальный сервис с гарантированной скоростью.</w:t>
      </w:r>
    </w:p>
    <w:p w14:paraId="74C155F1" w14:textId="77777777" w:rsidR="0016212F" w:rsidRDefault="00000000">
      <w:r>
        <w:t>Вопросы платежа, гарантии и персонального случая могут требовать отдельной процедуры. Участник не должен раскрывать личные сведения всей группе ради обязательной помощи. В учебной модели предусматривается передача, не настоящие коммерческие операции.</w:t>
      </w:r>
    </w:p>
    <w:p w14:paraId="380AF1CB" w14:textId="77777777" w:rsidR="0016212F" w:rsidRDefault="00000000">
      <w:r>
        <w:t>Коммерческая цель оценивается вместе с качеством отношений. Рост продаж, достигнутый скрытием важных условий, не является достаточным основанием считать сообщество успешным. Прозрачность — часть самого предложения, а не декоративная приписка к рекламе.</w:t>
      </w:r>
    </w:p>
    <w:p w14:paraId="16EABA50" w14:textId="77777777" w:rsidR="0016212F" w:rsidRDefault="00000000">
      <w:r>
        <w:t>Полезно сравнить альтернативы: обычная поддержка, база знаний, курс, клуб или совместная разработка. Если требуется только транслировать предложения компании, не стоит обещать независимое пространство взаимного влияния.</w:t>
      </w:r>
    </w:p>
    <w:p w14:paraId="45FA4011" w14:textId="77777777" w:rsidR="0016212F" w:rsidRDefault="00000000">
      <w:pPr>
        <w:pStyle w:val="21"/>
        <w:pageBreakBefore/>
      </w:pPr>
      <w:r>
        <w:lastRenderedPageBreak/>
        <w:t>2. От идеи к решению</w:t>
      </w:r>
    </w:p>
    <w:p w14:paraId="2C789E13" w14:textId="77777777" w:rsidR="0016212F" w:rsidRDefault="00000000">
      <w:r>
        <w:t>Совместное создание включает право подать, формат, обсуждение, критерии, проверку реализуемости и полномочие выбора. Один сбор пожеланий недостаточен. Иначе авторы воспринимают популярность как обещание производства, а команда — как бесплатный источник вдохновения.</w:t>
      </w:r>
    </w:p>
    <w:p w14:paraId="2A5506D6" w14:textId="77777777" w:rsidR="0016212F" w:rsidRDefault="00000000">
      <w:r>
        <w:t>Учебная последовательность: соответствие теме, обсуждение, предварительный отбор, проверка ресурса, решение и обратная связь. Отклонение не обязательно означает плохую идею: возможны ограничения прав, срока и стратегии.</w:t>
      </w:r>
    </w:p>
    <w:p w14:paraId="1AF4019B" w14:textId="77777777" w:rsidR="0016212F" w:rsidRDefault="00000000">
      <w:pPr>
        <w:pStyle w:val="31"/>
      </w:pPr>
      <w:r>
        <w:t>Голосование и спрос</w:t>
      </w:r>
    </w:p>
    <w:p w14:paraId="1DEE6430" w14:textId="77777777" w:rsidR="0016212F" w:rsidRDefault="00000000">
      <w:r>
        <w:t>Голос показывает поддержку в определенных условиях, не готовность платить и не весь рынок. Самоотбор, активные поклонники и разная осведомленность влияют на результат. Значение голоса и дальнейшие проверки объясняют до участия.</w:t>
      </w:r>
    </w:p>
    <w:p w14:paraId="5D8646D9" w14:textId="77777777" w:rsidR="0016212F" w:rsidRDefault="00000000">
      <w:r>
        <w:t>Критерии достаточно ясны для понимания решения, но прозрачность не требует раскрывать конфиденциальные коммерческие сведения. Можно обозначить ограничение категории и процедуру. Существенные условия не меняют незаметно после сбора работ.</w:t>
      </w:r>
    </w:p>
    <w:p w14:paraId="0358E2A1" w14:textId="77777777" w:rsidR="0016212F" w:rsidRDefault="00000000">
      <w:r>
        <w:t>Использование материалов и авторство согласуются заранее. Несколько вкладов в доработку нельзя приписать только заметному участнику. Реальные права проверяются по условиям и применимой юрисдикции; в упражнении используются оригинальные вымышленные идеи.</w:t>
      </w:r>
    </w:p>
    <w:p w14:paraId="03FAEE45" w14:textId="77777777" w:rsidR="0016212F" w:rsidRDefault="00000000">
      <w:r>
        <w:t>Статус «получено» отличается от «включено в план». После решения сообщают следующее действие, открытые вопросы и доступные автору варианты. Молчание после активного сбора поддерживает неверные ожидания.</w:t>
      </w:r>
    </w:p>
    <w:p w14:paraId="4C936DE2" w14:textId="77777777" w:rsidR="0016212F" w:rsidRDefault="00000000">
      <w:r>
        <w:t>Процесс должен сохранять возможность не реализовать идею с объяснением. Это не отрицание участия, а честное разграничение влияния и окончательной ответственности. Если обещана обязательная реализация результата голосования, нужно заранее доказать исполнимость такого обязательства.</w:t>
      </w:r>
    </w:p>
    <w:p w14:paraId="4EEB665F" w14:textId="77777777" w:rsidR="0016212F" w:rsidRDefault="00000000">
      <w:pPr>
        <w:pStyle w:val="21"/>
        <w:pageBreakBefore/>
      </w:pPr>
      <w:r>
        <w:lastRenderedPageBreak/>
        <w:t>3. Реальный кейс LEGO Ideas</w:t>
      </w:r>
    </w:p>
    <w:p w14:paraId="37C31A3C" w14:textId="77777777" w:rsidR="0016212F" w:rsidRDefault="00000000">
      <w:r>
        <w:rPr>
          <w:b/>
        </w:rPr>
        <w:t>Досье источников.</w:t>
      </w:r>
      <w:r>
        <w:t xml:space="preserve"> Официальная справка LEGO Ideas указывает: достижение 10 000 сторонников переводит продуктовую идею на рассмотрение, но не гарантирует выпуск набора [1]. Правила определяют рамки подачи, поддержки и оценки [2]. Это публичный процесс совместного создания, не доказательство точного прогноза продаж голосами участников.</w:t>
      </w:r>
    </w:p>
    <w:p w14:paraId="52D253D3" w14:textId="77777777" w:rsidR="0016212F" w:rsidRDefault="00000000">
      <w:r>
        <w:t>Поддержка и полномочие принять производственное решение различаются. Автор получает понятный этап, не безусловный результат. Число 10 000 не нужно копировать в небольшой проект с иным масштабом и ресурсом.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16212F" w14:paraId="53B39F5C" w14:textId="77777777">
        <w:trPr>
          <w:cantSplit/>
          <w:tblHeader/>
          <w:jc w:val="center"/>
        </w:trPr>
        <w:tc>
          <w:tcPr>
            <w:tcW w:w="3061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E6B24C" w14:textId="77777777" w:rsidR="0016212F" w:rsidRDefault="00000000">
            <w:pPr>
              <w:pStyle w:val="TableText"/>
            </w:pPr>
            <w:r>
              <w:rPr>
                <w:b/>
                <w:color w:val="FFFFFF"/>
              </w:rPr>
              <w:t>Элемент</w:t>
            </w:r>
          </w:p>
        </w:tc>
        <w:tc>
          <w:tcPr>
            <w:tcW w:w="6463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52F5FC" w14:textId="77777777" w:rsidR="0016212F" w:rsidRDefault="00000000">
            <w:pPr>
              <w:pStyle w:val="TableText"/>
            </w:pPr>
            <w:r>
              <w:rPr>
                <w:b/>
                <w:color w:val="FFFFFF"/>
              </w:rPr>
              <w:t>Что определить у себя</w:t>
            </w:r>
          </w:p>
        </w:tc>
      </w:tr>
      <w:tr w:rsidR="0016212F" w14:paraId="26E5BE2C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F56BF5" w14:textId="77777777" w:rsidR="0016212F" w:rsidRDefault="00000000">
            <w:pPr>
              <w:pStyle w:val="TableText"/>
            </w:pPr>
            <w:r>
              <w:t>Допустимая идея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3B602E" w14:textId="77777777" w:rsidR="0016212F" w:rsidRDefault="00000000">
            <w:pPr>
              <w:pStyle w:val="TableText"/>
            </w:pPr>
            <w:r>
              <w:t>Тема, формат, условия</w:t>
            </w:r>
          </w:p>
        </w:tc>
      </w:tr>
      <w:tr w:rsidR="0016212F" w14:paraId="368AB1EC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BD6251" w14:textId="77777777" w:rsidR="0016212F" w:rsidRDefault="00000000">
            <w:pPr>
              <w:pStyle w:val="TableText"/>
            </w:pPr>
            <w:r>
              <w:t>Поддержка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71B071" w14:textId="77777777" w:rsidR="0016212F" w:rsidRPr="00301726" w:rsidRDefault="00000000">
            <w:pPr>
              <w:pStyle w:val="TableText"/>
              <w:rPr>
                <w:lang w:val="ru-RU"/>
              </w:rPr>
            </w:pPr>
            <w:r w:rsidRPr="00301726">
              <w:rPr>
                <w:lang w:val="ru-RU"/>
              </w:rPr>
              <w:t>Смысл голоса и право участия</w:t>
            </w:r>
          </w:p>
        </w:tc>
      </w:tr>
      <w:tr w:rsidR="0016212F" w14:paraId="2887D533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D88088" w14:textId="77777777" w:rsidR="0016212F" w:rsidRDefault="00000000">
            <w:pPr>
              <w:pStyle w:val="TableText"/>
            </w:pPr>
            <w:r>
              <w:t>Порог рассмотрения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C7940E" w14:textId="77777777" w:rsidR="0016212F" w:rsidRDefault="00000000">
            <w:pPr>
              <w:pStyle w:val="TableText"/>
            </w:pPr>
            <w:r>
              <w:t>Когда начинается проверка</w:t>
            </w:r>
          </w:p>
        </w:tc>
      </w:tr>
      <w:tr w:rsidR="0016212F" w14:paraId="7BF38494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0AD685" w14:textId="77777777" w:rsidR="0016212F" w:rsidRDefault="00000000">
            <w:pPr>
              <w:pStyle w:val="TableText"/>
            </w:pPr>
            <w:r>
              <w:t>Реализуемость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D4BA16" w14:textId="77777777" w:rsidR="0016212F" w:rsidRDefault="00000000">
            <w:pPr>
              <w:pStyle w:val="TableText"/>
            </w:pPr>
            <w:r>
              <w:t>Ресурс, ограничения, полномочия</w:t>
            </w:r>
          </w:p>
        </w:tc>
      </w:tr>
      <w:tr w:rsidR="0016212F" w14:paraId="5BF19C27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321083" w14:textId="77777777" w:rsidR="0016212F" w:rsidRDefault="00000000">
            <w:pPr>
              <w:pStyle w:val="TableText"/>
            </w:pPr>
            <w:r>
              <w:t>Обратная связь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B04270" w14:textId="77777777" w:rsidR="0016212F" w:rsidRDefault="00000000">
            <w:pPr>
              <w:pStyle w:val="TableText"/>
            </w:pPr>
            <w:r>
              <w:t>Статус, основание, следующий шаг</w:t>
            </w:r>
          </w:p>
        </w:tc>
      </w:tr>
    </w:tbl>
    <w:p w14:paraId="5F00595C" w14:textId="77777777" w:rsidR="0016212F" w:rsidRDefault="0016212F">
      <w:pPr>
        <w:spacing w:after="20" w:line="20" w:lineRule="exact"/>
      </w:pPr>
    </w:p>
    <w:p w14:paraId="2B710C6B" w14:textId="77777777" w:rsidR="0016212F" w:rsidRDefault="00000000">
      <w:r>
        <w:t>«Практика вместе» может собирать темы мастерских. Условные двадцать голосов — сигнал проверить ведущего и расписание, не гарантия встречи. Этот порог выбран для учебной модели, не получен как универсальная норма из LEGO.</w:t>
      </w:r>
    </w:p>
    <w:p w14:paraId="2AF6313A" w14:textId="77777777" w:rsidR="0016212F" w:rsidRDefault="00000000">
      <w:r>
        <w:t>Обещание реализовать любую наиболее популярную тему нужно оценить до запуска. Голосование может выбрать дорогое или неподходящее предложение. Обязательные ограничения задаются заранее, а не после неудобного результата.</w:t>
      </w:r>
    </w:p>
    <w:p w14:paraId="41CB3511" w14:textId="77777777" w:rsidR="0016212F" w:rsidRDefault="00000000">
      <w:r>
        <w:t>Кейс помогает строить честный переход от интереса к проверке. Он не превращает вклад поклонников в гарантию коммерческого успеха. Порядок, описанный компанией, отделяется от независимых данных о конкретных результатах.</w:t>
      </w:r>
    </w:p>
    <w:p w14:paraId="2BBFB374" w14:textId="77777777" w:rsidR="0016212F" w:rsidRDefault="00000000">
      <w:r>
        <w:t>Для практики важно подготовить сообщения разных статусов: идея принята к рассмотрению, требуется уточнение, проверка завершена, предложение отклонено. Точный язык предотвращает ошибочное ожидание реализации без скрытия факта участия автора.</w:t>
      </w:r>
    </w:p>
    <w:p w14:paraId="745440A7" w14:textId="77777777" w:rsidR="0016212F" w:rsidRDefault="00000000">
      <w:pPr>
        <w:pStyle w:val="21"/>
        <w:pageBreakBefore/>
      </w:pPr>
      <w:r>
        <w:lastRenderedPageBreak/>
        <w:t>4. Учебная экономика и чувствительность</w:t>
      </w:r>
    </w:p>
    <w:p w14:paraId="5F414CDD" w14:textId="77777777" w:rsidR="0016212F" w:rsidRDefault="00000000">
      <w:r>
        <w:t>Все суммы условны, в денежных единицах. Расширенный формат включает две мастерские и проверку материалов в месяц. Фиксированные затраты — 36 000 д. е.; взнос — 1 200; переменные затраты на человека — 300. Базовая безопасность и возможность жалобы не продаются отдельно.</w:t>
      </w:r>
    </w:p>
    <w:p w14:paraId="672EA069" w14:textId="77777777" w:rsidR="0016212F" w:rsidRDefault="00000000">
      <w:r>
        <w:t>Вклад после заданных переменных затрат — 900. Для покрытия фиксированных нужно 36 000 / 900 = 40 плательщиков. При 50 остаток: 50 × 900 − 36 000 = 9 000. Это не универсальная чистая прибыль: другие реальные затраты и обязательства потребуют учета.</w:t>
      </w:r>
    </w:p>
    <w:p w14:paraId="02CCCC17" w14:textId="77777777" w:rsidR="0016212F" w:rsidRDefault="00000000">
      <w:pPr>
        <w:pStyle w:val="31"/>
      </w:pPr>
      <w:r>
        <w:t>Сценарий изменения</w:t>
      </w:r>
    </w:p>
    <w:p w14:paraId="05BE5012" w14:textId="77777777" w:rsidR="0016212F" w:rsidRDefault="00000000">
      <w:r>
        <w:t>Если переменные затраты — 500, вклад — 700. Порог 36 000 / 700 ≈ 51,43, то есть не меньше 52 людей при целочисленном учете. При 50 результат −1 000. Рекомендация зависит от стоимости помощи, а не только числа подписчиков.</w:t>
      </w:r>
    </w:p>
    <w:p w14:paraId="7112817A" w14:textId="77777777" w:rsidR="0016212F" w:rsidRDefault="00000000">
      <w:r>
        <w:t>Добровольный труд ограничен. Даже без денежной выплаты нужны доступность, обучение и резерв. Отдельно оцениваются часы, замещение ведущего и ресурс прекращения формата.</w:t>
      </w:r>
    </w:p>
    <w:p w14:paraId="6DFE2C54" w14:textId="77777777" w:rsidR="0016212F" w:rsidRDefault="00000000">
      <w:r>
        <w:t>Спонсор покрывает расходы, но создает зависимость и условия. Проверяются требования к контенту, доступу к данным и модерации. Большой платеж не компенсирует недопустимого условия. Пример не заменяет договорную или налоговую оценку настоящего партнерства.</w:t>
      </w:r>
    </w:p>
    <w:p w14:paraId="4AF78FB8" w14:textId="77777777" w:rsidR="0016212F" w:rsidRDefault="00000000">
      <w:r>
        <w:t>Готовность платить еще не измерена. Нельзя умножить всех подписчиков на взнос и назвать результат прогнозом. Проверяется реальное предложение с ясными условиями, а не только положительная реакция на идею.</w:t>
      </w:r>
    </w:p>
    <w:p w14:paraId="165173C4" w14:textId="77777777" w:rsidR="0016212F" w:rsidRDefault="00000000">
      <w:r>
        <w:t>Фиксированный горизонт сравнения обязателен. Нельзя сопоставлять годовые расходы с доходом удачного месяца без объяснения или обещать бессрочное повторение пилотного результата. Неопределенность оформляют сценариями, а не лишними знаками точности.</w:t>
      </w:r>
    </w:p>
    <w:p w14:paraId="4DD2EB96" w14:textId="77777777" w:rsidR="0016212F" w:rsidRDefault="00000000">
      <w:pPr>
        <w:pStyle w:val="21"/>
        <w:pageBreakBefore/>
      </w:pPr>
      <w:r>
        <w:lastRenderedPageBreak/>
        <w:t>5. Прозрачность партнерств и оценка</w:t>
      </w:r>
    </w:p>
    <w:p w14:paraId="2FA4BAFA" w14:textId="77777777" w:rsidR="0016212F" w:rsidRDefault="00000000">
      <w:r>
        <w:t>Партнерство включает цель, вклад сторон, права, ограничения, оценку и завершение. Раскрытие связи помогает понять рекомендацию. Условие не прячут в документе, если сообщение выглядит независимым советом.</w:t>
      </w:r>
    </w:p>
    <w:p w14:paraId="5DA5C85C" w14:textId="77777777" w:rsidR="0016212F" w:rsidRDefault="00000000">
      <w:r>
        <w:t>Редакционная и модераторская независимость описываются конкретно. Партнер может предложить тему, но не получает неограниченного права удалять критику. Личные данные не передаются по умолчанию за финансирование. Настоящие основания обработки и рекламы проверяют отдельно.</w:t>
      </w:r>
    </w:p>
    <w:p w14:paraId="3C044C76" w14:textId="77777777" w:rsidR="0016212F" w:rsidRDefault="00000000">
      <w:pPr>
        <w:pStyle w:val="31"/>
      </w:pPr>
      <w:r>
        <w:t>Коммерческий эффект</w:t>
      </w:r>
    </w:p>
    <w:p w14:paraId="0BF618F2" w14:textId="77777777" w:rsidR="0016212F" w:rsidRDefault="00000000">
      <w:r>
        <w:t>Меньше обращений может означать полезный архив или затрудненный канал поддержки. Больше покупок у членов клуба не доказывает влияние сообщества: они могли быть заинтересованы до вступления. Для причинного вывода нужен подходящий дизайн; учебный расчет может оставаться сценарным.</w:t>
      </w:r>
    </w:p>
    <w:p w14:paraId="7B27B9BA" w14:textId="77777777" w:rsidR="0016212F" w:rsidRDefault="00000000">
      <w:r>
        <w:t>Общественный результат, труд и денежный эффект показывают раздельно. Инструкция — продукт, применение — результат, сэкономленное время поддержки — оценка при допущениях. Их нельзя произвольно складывать в единую валютную «ценность».</w:t>
      </w:r>
    </w:p>
    <w:p w14:paraId="3E0D0F27" w14:textId="77777777" w:rsidR="0016212F" w:rsidRDefault="00000000">
      <w:r>
        <w:t>План завершения определяет доступ, обещанные встречи, материалы и открытые обращения. Нельзя принимать обязательства дальше обеспеченного ресурса. Изменение условий требует понятного сообщения и предусмотренных вариантов участия.</w:t>
      </w:r>
    </w:p>
    <w:p w14:paraId="160B2B4E" w14:textId="77777777" w:rsidR="0016212F" w:rsidRDefault="00000000">
      <w:r>
        <w:t>Устойчивость соединяет пользу, ресурс и доверие. Финансирование поддерживает работу, но не заменяет ясного обещания. Совместное создание остается ответственным, если автор знает границы влияния и судьбу вклада.</w:t>
      </w:r>
    </w:p>
    <w:p w14:paraId="04450AC9" w14:textId="65F51F77" w:rsidR="0016212F" w:rsidRPr="00301726" w:rsidRDefault="00000000" w:rsidP="00301726">
      <w:r>
        <w:t>Итоговая рекомендация должна назвать не только выгодный вариант, но и условия отказа. Ограничения данных и интересов сторон помогают читателю оценить решение без иллюзии гарантированного результата.</w:t>
      </w:r>
    </w:p>
    <w:sectPr w:rsidR="0016212F" w:rsidRPr="00301726" w:rsidSect="00034616">
      <w:headerReference w:type="default" r:id="rId8"/>
      <w:footerReference w:type="default" r:id="rId9"/>
      <w:pgSz w:w="11906" w:h="16838"/>
      <w:pgMar w:top="1106" w:right="1191" w:bottom="1077" w:left="1191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A055F" w14:textId="77777777" w:rsidR="006723ED" w:rsidRDefault="006723ED">
      <w:pPr>
        <w:spacing w:after="0" w:line="240" w:lineRule="auto"/>
      </w:pPr>
      <w:r>
        <w:separator/>
      </w:r>
    </w:p>
  </w:endnote>
  <w:endnote w:type="continuationSeparator" w:id="0">
    <w:p w14:paraId="4A5245F4" w14:textId="77777777" w:rsidR="006723ED" w:rsidRDefault="00672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E320B" w14:textId="3DBAF307" w:rsidR="0016212F" w:rsidRPr="00301726" w:rsidRDefault="0016212F">
    <w:pPr>
      <w:pStyle w:val="Small"/>
      <w:tabs>
        <w:tab w:val="right" w:pos="9524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B1531" w14:textId="77777777" w:rsidR="006723ED" w:rsidRDefault="006723ED">
      <w:pPr>
        <w:spacing w:after="0" w:line="240" w:lineRule="auto"/>
      </w:pPr>
      <w:r>
        <w:separator/>
      </w:r>
    </w:p>
  </w:footnote>
  <w:footnote w:type="continuationSeparator" w:id="0">
    <w:p w14:paraId="78812894" w14:textId="77777777" w:rsidR="006723ED" w:rsidRDefault="00672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3C743" w14:textId="449C5D7A" w:rsidR="0016212F" w:rsidRDefault="0016212F">
    <w:pPr>
      <w:pStyle w:val="Small"/>
      <w:pBdr>
        <w:bottom w:val="single" w:sz="4" w:space="0" w:color="CCD5D9"/>
      </w:pBdr>
      <w:tabs>
        <w:tab w:val="right" w:pos="95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3581727">
    <w:abstractNumId w:val="8"/>
  </w:num>
  <w:num w:numId="2" w16cid:durableId="513568066">
    <w:abstractNumId w:val="6"/>
  </w:num>
  <w:num w:numId="3" w16cid:durableId="1488673236">
    <w:abstractNumId w:val="5"/>
  </w:num>
  <w:num w:numId="4" w16cid:durableId="819275617">
    <w:abstractNumId w:val="4"/>
  </w:num>
  <w:num w:numId="5" w16cid:durableId="1759211812">
    <w:abstractNumId w:val="7"/>
  </w:num>
  <w:num w:numId="6" w16cid:durableId="1890072300">
    <w:abstractNumId w:val="3"/>
  </w:num>
  <w:num w:numId="7" w16cid:durableId="500393179">
    <w:abstractNumId w:val="2"/>
  </w:num>
  <w:num w:numId="8" w16cid:durableId="583028129">
    <w:abstractNumId w:val="1"/>
  </w:num>
  <w:num w:numId="9" w16cid:durableId="1512601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212F"/>
    <w:rsid w:val="0029639D"/>
    <w:rsid w:val="00301726"/>
    <w:rsid w:val="00326F90"/>
    <w:rsid w:val="006723ED"/>
    <w:rsid w:val="00AA050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EABBCA"/>
  <w14:defaultImageDpi w14:val="300"/>
  <w15:docId w15:val="{CA49194F-ED05-478E-988A-C0FA3995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1" w:lineRule="auto"/>
    </w:pPr>
    <w:rPr>
      <w:rFonts w:ascii="Times New Roman" w:hAnsi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83748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67477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8374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83748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100" w:line="264" w:lineRule="auto"/>
    </w:pPr>
    <w:rPr>
      <w:rFonts w:ascii="Arial" w:hAnsi="Arial"/>
      <w:sz w:val="21"/>
    </w:rPr>
  </w:style>
  <w:style w:type="paragraph" w:customStyle="1" w:styleId="Question">
    <w:name w:val="Question"/>
    <w:pPr>
      <w:spacing w:after="100" w:line="264" w:lineRule="auto"/>
    </w:pPr>
    <w:rPr>
      <w:rFonts w:ascii="Times New Roman" w:hAnsi="Times New Roman"/>
      <w:sz w:val="23"/>
    </w:rPr>
  </w:style>
  <w:style w:type="paragraph" w:customStyle="1" w:styleId="Small">
    <w:name w:val="Small"/>
    <w:pPr>
      <w:spacing w:after="100" w:line="264" w:lineRule="auto"/>
    </w:pPr>
    <w:rPr>
      <w:rFonts w:ascii="Arial" w:hAnsi="Arial"/>
      <w:sz w:val="20"/>
    </w:rPr>
  </w:style>
  <w:style w:type="paragraph" w:customStyle="1" w:styleId="Check">
    <w:name w:val="Check"/>
    <w:pPr>
      <w:spacing w:after="100" w:line="264" w:lineRule="auto"/>
    </w:pPr>
    <w:rPr>
      <w:rFonts w:ascii="Times New Roman" w:hAnsi="Times New Roman"/>
    </w:rPr>
  </w:style>
  <w:style w:type="paragraph" w:customStyle="1" w:styleId="Callout">
    <w:name w:val="Callout"/>
    <w:pPr>
      <w:spacing w:after="100" w:line="264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13. Бренд-сообщества, совместное создание продуктов и экономическая устойчивость</dc:title>
  <dc:subject>Управление интернет-сообществами</dc:subject>
  <dc:creator>Учебные материалы</dc:creator>
  <cp:keywords/>
  <dc:description/>
  <cp:lastModifiedBy>Mikhail Sizov</cp:lastModifiedBy>
  <cp:revision>3</cp:revision>
  <dcterms:created xsi:type="dcterms:W3CDTF">2013-12-23T23:15:00Z</dcterms:created>
  <dcterms:modified xsi:type="dcterms:W3CDTF">2026-10-08T18:11:00Z</dcterms:modified>
  <cp:category/>
</cp:coreProperties>
</file>