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AF2BC" w14:textId="77777777" w:rsidR="00323A14" w:rsidRDefault="00000000" w:rsidP="00323A14">
      <w:pPr>
        <w:pStyle w:val="aa"/>
      </w:pPr>
      <w:r>
        <w:t>Стратегия сообщества: позиционирование, модель ценности и план развития</w:t>
      </w:r>
    </w:p>
    <w:p w14:paraId="64354698" w14:textId="77777777" w:rsidR="00323A14" w:rsidRDefault="00323A14" w:rsidP="00323A14">
      <w:pPr>
        <w:pStyle w:val="aa"/>
      </w:pPr>
    </w:p>
    <w:p w14:paraId="6A9C9743" w14:textId="352EEC8A" w:rsidR="00E472B5" w:rsidRDefault="00000000" w:rsidP="00323A14">
      <w:pPr>
        <w:pStyle w:val="aa"/>
      </w:pPr>
      <w:r>
        <w:t>1. Позиционирование и взаимная ценность</w:t>
      </w:r>
    </w:p>
    <w:p w14:paraId="1463E386" w14:textId="77777777" w:rsidR="00E472B5" w:rsidRDefault="00000000">
      <w:r>
        <w:t>Рабочая формула: для какой группы, в какой ситуации, ради какого результата существует сообщество и чем отличается способ помощи. «Обсуждаем все о карьере» не задает границ. «Помогаем начинающим авторам проверить вопрос проекта через взаимный разбор» определяет практику, хотя спрос на нее еще нужно проверить.</w:t>
      </w:r>
    </w:p>
    <w:p w14:paraId="571C3AA9" w14:textId="77777777" w:rsidR="00E472B5" w:rsidRDefault="00000000">
      <w:r>
        <w:t>В предложении называют альтернативу. Человек может обратиться к преподавателю, прочитать руководство, нанять консультанта или ничего не делать. Сообщество оправданно, когда взаимодействие дает дополнительную приемлемую пользу: разные примеры, обратную связь, партнерство или коллективную память. Взаимность не требует одинакового числа сообщений от каждого.</w:t>
      </w:r>
    </w:p>
    <w:tbl>
      <w:tblPr>
        <w:tblW w:w="0" w:type="auto"/>
        <w:jc w:val="center"/>
        <w:tblLayout w:type="fixed"/>
        <w:tblLook w:val="04A0" w:firstRow="1" w:lastRow="0" w:firstColumn="1" w:lastColumn="0" w:noHBand="0" w:noVBand="1"/>
      </w:tblPr>
      <w:tblGrid>
        <w:gridCol w:w="2665"/>
        <w:gridCol w:w="3430"/>
        <w:gridCol w:w="3430"/>
      </w:tblGrid>
      <w:tr w:rsidR="00E472B5" w14:paraId="471D5C16" w14:textId="77777777">
        <w:trPr>
          <w:cantSplit/>
          <w:tblHeader/>
          <w:jc w:val="center"/>
        </w:trPr>
        <w:tc>
          <w:tcPr>
            <w:tcW w:w="2665" w:type="dxa"/>
            <w:shd w:val="clear" w:color="auto" w:fill="183748"/>
            <w:tcMar>
              <w:top w:w="85" w:type="dxa"/>
              <w:left w:w="85" w:type="dxa"/>
              <w:bottom w:w="85" w:type="dxa"/>
              <w:right w:w="85" w:type="dxa"/>
            </w:tcMar>
            <w:vAlign w:val="center"/>
          </w:tcPr>
          <w:p w14:paraId="71033AF6" w14:textId="77777777" w:rsidR="00E472B5" w:rsidRDefault="00000000">
            <w:pPr>
              <w:pStyle w:val="TableText"/>
            </w:pPr>
            <w:r>
              <w:rPr>
                <w:b/>
                <w:color w:val="FFFFFF"/>
              </w:rPr>
              <w:t>Сторона</w:t>
            </w:r>
          </w:p>
        </w:tc>
        <w:tc>
          <w:tcPr>
            <w:tcW w:w="3430" w:type="dxa"/>
            <w:shd w:val="clear" w:color="auto" w:fill="183748"/>
            <w:tcMar>
              <w:top w:w="85" w:type="dxa"/>
              <w:left w:w="85" w:type="dxa"/>
              <w:bottom w:w="85" w:type="dxa"/>
              <w:right w:w="85" w:type="dxa"/>
            </w:tcMar>
            <w:vAlign w:val="center"/>
          </w:tcPr>
          <w:p w14:paraId="23F9D9D8" w14:textId="77777777" w:rsidR="00E472B5" w:rsidRDefault="00000000">
            <w:pPr>
              <w:pStyle w:val="TableText"/>
            </w:pPr>
            <w:r>
              <w:rPr>
                <w:b/>
                <w:color w:val="FFFFFF"/>
              </w:rPr>
              <w:t>Возможная польза</w:t>
            </w:r>
          </w:p>
        </w:tc>
        <w:tc>
          <w:tcPr>
            <w:tcW w:w="3430" w:type="dxa"/>
            <w:shd w:val="clear" w:color="auto" w:fill="183748"/>
            <w:tcMar>
              <w:top w:w="85" w:type="dxa"/>
              <w:left w:w="85" w:type="dxa"/>
              <w:bottom w:w="85" w:type="dxa"/>
              <w:right w:w="85" w:type="dxa"/>
            </w:tcMar>
            <w:vAlign w:val="center"/>
          </w:tcPr>
          <w:p w14:paraId="4326EB4A" w14:textId="77777777" w:rsidR="00E472B5" w:rsidRDefault="00000000">
            <w:pPr>
              <w:pStyle w:val="TableText"/>
            </w:pPr>
            <w:r>
              <w:rPr>
                <w:b/>
                <w:color w:val="FFFFFF"/>
              </w:rPr>
              <w:t>Граница</w:t>
            </w:r>
          </w:p>
        </w:tc>
      </w:tr>
      <w:tr w:rsidR="00E472B5" w14:paraId="6BA0A3B1" w14:textId="77777777">
        <w:trPr>
          <w:cantSplit/>
          <w:jc w:val="center"/>
        </w:trPr>
        <w:tc>
          <w:tcPr>
            <w:tcW w:w="2665" w:type="dxa"/>
            <w:shd w:val="clear" w:color="auto" w:fill="F0F4F6"/>
            <w:tcMar>
              <w:top w:w="85" w:type="dxa"/>
              <w:left w:w="85" w:type="dxa"/>
              <w:bottom w:w="85" w:type="dxa"/>
              <w:right w:w="85" w:type="dxa"/>
            </w:tcMar>
            <w:vAlign w:val="center"/>
          </w:tcPr>
          <w:p w14:paraId="4C62888A" w14:textId="77777777" w:rsidR="00E472B5" w:rsidRDefault="00000000">
            <w:pPr>
              <w:pStyle w:val="TableText"/>
            </w:pPr>
            <w:r>
              <w:t>Новичок</w:t>
            </w:r>
          </w:p>
        </w:tc>
        <w:tc>
          <w:tcPr>
            <w:tcW w:w="3430" w:type="dxa"/>
            <w:shd w:val="clear" w:color="auto" w:fill="F0F4F6"/>
            <w:tcMar>
              <w:top w:w="85" w:type="dxa"/>
              <w:left w:w="85" w:type="dxa"/>
              <w:bottom w:w="85" w:type="dxa"/>
              <w:right w:w="85" w:type="dxa"/>
            </w:tcMar>
            <w:vAlign w:val="center"/>
          </w:tcPr>
          <w:p w14:paraId="7B1CFA15" w14:textId="77777777" w:rsidR="00E472B5" w:rsidRDefault="00000000">
            <w:pPr>
              <w:pStyle w:val="TableText"/>
            </w:pPr>
            <w:r>
              <w:t>Понятный следующий шаг</w:t>
            </w:r>
          </w:p>
        </w:tc>
        <w:tc>
          <w:tcPr>
            <w:tcW w:w="3430" w:type="dxa"/>
            <w:shd w:val="clear" w:color="auto" w:fill="F0F4F6"/>
            <w:tcMar>
              <w:top w:w="85" w:type="dxa"/>
              <w:left w:w="85" w:type="dxa"/>
              <w:bottom w:w="85" w:type="dxa"/>
              <w:right w:w="85" w:type="dxa"/>
            </w:tcMar>
            <w:vAlign w:val="center"/>
          </w:tcPr>
          <w:p w14:paraId="21B303AC" w14:textId="77777777" w:rsidR="00E472B5" w:rsidRPr="00323A14" w:rsidRDefault="00000000">
            <w:pPr>
              <w:pStyle w:val="TableText"/>
              <w:rPr>
                <w:lang w:val="ru-RU"/>
              </w:rPr>
            </w:pPr>
            <w:r w:rsidRPr="00323A14">
              <w:rPr>
                <w:lang w:val="ru-RU"/>
              </w:rPr>
              <w:t>Нет готового проекта за него</w:t>
            </w:r>
          </w:p>
        </w:tc>
      </w:tr>
      <w:tr w:rsidR="00E472B5" w14:paraId="3B8FF3C9" w14:textId="77777777">
        <w:trPr>
          <w:cantSplit/>
          <w:jc w:val="center"/>
        </w:trPr>
        <w:tc>
          <w:tcPr>
            <w:tcW w:w="2665" w:type="dxa"/>
            <w:tcMar>
              <w:top w:w="85" w:type="dxa"/>
              <w:left w:w="85" w:type="dxa"/>
              <w:bottom w:w="85" w:type="dxa"/>
              <w:right w:w="85" w:type="dxa"/>
            </w:tcMar>
            <w:vAlign w:val="center"/>
          </w:tcPr>
          <w:p w14:paraId="0CB49EB6" w14:textId="77777777" w:rsidR="00E472B5" w:rsidRDefault="00000000">
            <w:pPr>
              <w:pStyle w:val="TableText"/>
            </w:pPr>
            <w:r>
              <w:t>Помощник</w:t>
            </w:r>
          </w:p>
        </w:tc>
        <w:tc>
          <w:tcPr>
            <w:tcW w:w="3430" w:type="dxa"/>
            <w:tcMar>
              <w:top w:w="85" w:type="dxa"/>
              <w:left w:w="85" w:type="dxa"/>
              <w:bottom w:w="85" w:type="dxa"/>
              <w:right w:w="85" w:type="dxa"/>
            </w:tcMar>
            <w:vAlign w:val="center"/>
          </w:tcPr>
          <w:p w14:paraId="083964B1" w14:textId="77777777" w:rsidR="00E472B5" w:rsidRDefault="00000000">
            <w:pPr>
              <w:pStyle w:val="TableText"/>
            </w:pPr>
            <w:r>
              <w:t>Опыт объяснения и признание</w:t>
            </w:r>
          </w:p>
        </w:tc>
        <w:tc>
          <w:tcPr>
            <w:tcW w:w="3430" w:type="dxa"/>
            <w:tcMar>
              <w:top w:w="85" w:type="dxa"/>
              <w:left w:w="85" w:type="dxa"/>
              <w:bottom w:w="85" w:type="dxa"/>
              <w:right w:w="85" w:type="dxa"/>
            </w:tcMar>
            <w:vAlign w:val="center"/>
          </w:tcPr>
          <w:p w14:paraId="1CD89319" w14:textId="77777777" w:rsidR="00E472B5" w:rsidRDefault="00000000">
            <w:pPr>
              <w:pStyle w:val="TableText"/>
            </w:pPr>
            <w:r>
              <w:t>Нет круглосуточного дежурства</w:t>
            </w:r>
          </w:p>
        </w:tc>
      </w:tr>
      <w:tr w:rsidR="00E472B5" w14:paraId="1293E898" w14:textId="77777777">
        <w:trPr>
          <w:cantSplit/>
          <w:jc w:val="center"/>
        </w:trPr>
        <w:tc>
          <w:tcPr>
            <w:tcW w:w="2665" w:type="dxa"/>
            <w:shd w:val="clear" w:color="auto" w:fill="F0F4F6"/>
            <w:tcMar>
              <w:top w:w="85" w:type="dxa"/>
              <w:left w:w="85" w:type="dxa"/>
              <w:bottom w:w="85" w:type="dxa"/>
              <w:right w:w="85" w:type="dxa"/>
            </w:tcMar>
            <w:vAlign w:val="center"/>
          </w:tcPr>
          <w:p w14:paraId="1C88275C" w14:textId="77777777" w:rsidR="00E472B5" w:rsidRDefault="00000000">
            <w:pPr>
              <w:pStyle w:val="TableText"/>
            </w:pPr>
            <w:r>
              <w:t>Организатор</w:t>
            </w:r>
          </w:p>
        </w:tc>
        <w:tc>
          <w:tcPr>
            <w:tcW w:w="3430" w:type="dxa"/>
            <w:shd w:val="clear" w:color="auto" w:fill="F0F4F6"/>
            <w:tcMar>
              <w:top w:w="85" w:type="dxa"/>
              <w:left w:w="85" w:type="dxa"/>
              <w:bottom w:w="85" w:type="dxa"/>
              <w:right w:w="85" w:type="dxa"/>
            </w:tcMar>
            <w:vAlign w:val="center"/>
          </w:tcPr>
          <w:p w14:paraId="2E5AB6E2" w14:textId="77777777" w:rsidR="00E472B5" w:rsidRDefault="00000000">
            <w:pPr>
              <w:pStyle w:val="TableText"/>
            </w:pPr>
            <w:r>
              <w:t>Понимание повторяющихся проблем</w:t>
            </w:r>
          </w:p>
        </w:tc>
        <w:tc>
          <w:tcPr>
            <w:tcW w:w="3430" w:type="dxa"/>
            <w:shd w:val="clear" w:color="auto" w:fill="F0F4F6"/>
            <w:tcMar>
              <w:top w:w="85" w:type="dxa"/>
              <w:left w:w="85" w:type="dxa"/>
              <w:bottom w:w="85" w:type="dxa"/>
              <w:right w:w="85" w:type="dxa"/>
            </w:tcMar>
            <w:vAlign w:val="center"/>
          </w:tcPr>
          <w:p w14:paraId="6926DA5C" w14:textId="77777777" w:rsidR="00E472B5" w:rsidRPr="00323A14" w:rsidRDefault="00000000">
            <w:pPr>
              <w:pStyle w:val="TableText"/>
              <w:rPr>
                <w:lang w:val="ru-RU"/>
              </w:rPr>
            </w:pPr>
            <w:r w:rsidRPr="00323A14">
              <w:rPr>
                <w:lang w:val="ru-RU"/>
              </w:rPr>
              <w:t>Нет скрытого сбора сведений для продаж</w:t>
            </w:r>
          </w:p>
        </w:tc>
      </w:tr>
      <w:tr w:rsidR="00E472B5" w14:paraId="05CC6C9A" w14:textId="77777777">
        <w:trPr>
          <w:cantSplit/>
          <w:jc w:val="center"/>
        </w:trPr>
        <w:tc>
          <w:tcPr>
            <w:tcW w:w="2665" w:type="dxa"/>
            <w:tcMar>
              <w:top w:w="85" w:type="dxa"/>
              <w:left w:w="85" w:type="dxa"/>
              <w:bottom w:w="85" w:type="dxa"/>
              <w:right w:w="85" w:type="dxa"/>
            </w:tcMar>
            <w:vAlign w:val="center"/>
          </w:tcPr>
          <w:p w14:paraId="4F4EDBA5" w14:textId="77777777" w:rsidR="00E472B5" w:rsidRDefault="00000000">
            <w:pPr>
              <w:pStyle w:val="TableText"/>
            </w:pPr>
            <w:r>
              <w:t>Партнер</w:t>
            </w:r>
          </w:p>
        </w:tc>
        <w:tc>
          <w:tcPr>
            <w:tcW w:w="3430" w:type="dxa"/>
            <w:tcMar>
              <w:top w:w="85" w:type="dxa"/>
              <w:left w:w="85" w:type="dxa"/>
              <w:bottom w:w="85" w:type="dxa"/>
              <w:right w:w="85" w:type="dxa"/>
            </w:tcMar>
            <w:vAlign w:val="center"/>
          </w:tcPr>
          <w:p w14:paraId="1F4D2D46" w14:textId="77777777" w:rsidR="00E472B5" w:rsidRDefault="00000000">
            <w:pPr>
              <w:pStyle w:val="TableText"/>
            </w:pPr>
            <w:r>
              <w:t>Участие в полезной инициативе</w:t>
            </w:r>
          </w:p>
        </w:tc>
        <w:tc>
          <w:tcPr>
            <w:tcW w:w="3430" w:type="dxa"/>
            <w:tcMar>
              <w:top w:w="85" w:type="dxa"/>
              <w:left w:w="85" w:type="dxa"/>
              <w:bottom w:w="85" w:type="dxa"/>
              <w:right w:w="85" w:type="dxa"/>
            </w:tcMar>
            <w:vAlign w:val="center"/>
          </w:tcPr>
          <w:p w14:paraId="6ECE9238" w14:textId="77777777" w:rsidR="00E472B5" w:rsidRDefault="00000000">
            <w:pPr>
              <w:pStyle w:val="TableText"/>
            </w:pPr>
            <w:r>
              <w:t>Нет права подавлять критику</w:t>
            </w:r>
          </w:p>
        </w:tc>
      </w:tr>
    </w:tbl>
    <w:p w14:paraId="0E6F05F9" w14:textId="77777777" w:rsidR="00E472B5" w:rsidRDefault="00E472B5">
      <w:pPr>
        <w:spacing w:after="20" w:line="20" w:lineRule="exact"/>
      </w:pPr>
    </w:p>
    <w:p w14:paraId="5444D382" w14:textId="77777777" w:rsidR="00E472B5" w:rsidRDefault="00000000">
      <w:r>
        <w:t>Стратегическое противоречие появляется, если организатор считает только коммерческие заявки, а люди пришли за независимым опытом. Его нельзя разрешить незаметным усилением рекламы. Следует раскрыть интерес, изменить предложение или выбрать другой формат.</w:t>
      </w:r>
    </w:p>
    <w:p w14:paraId="6F7308F3" w14:textId="77777777" w:rsidR="00E472B5" w:rsidRDefault="00000000">
      <w:r>
        <w:t>Сегмент должен менять действие команды. Первому автору нужны вход и пример; рецензенту — критерии и допустимая нагрузка; организатору совместного проекта — роли и полномочия. Общее определение «активные пользователи» не объясняет эти различия.</w:t>
      </w:r>
    </w:p>
    <w:p w14:paraId="2B2B539B" w14:textId="77777777" w:rsidR="00E472B5" w:rsidRDefault="00000000">
      <w:r>
        <w:t>Позиционирование проверяют по понятности и выполнимости. Сильный слоган не компенсирует отсутствия компетентных помощников. Реалистичное узкое предложение дает больше оснований для доверия, чем обещание решить любую задачу каждого участника.</w:t>
      </w:r>
    </w:p>
    <w:p w14:paraId="38332891" w14:textId="77777777" w:rsidR="00E472B5" w:rsidRDefault="00000000">
      <w:pPr>
        <w:pStyle w:val="21"/>
        <w:pageBreakBefore/>
      </w:pPr>
      <w:r>
        <w:lastRenderedPageBreak/>
        <w:t>2. Цели и модель изменения</w:t>
      </w:r>
    </w:p>
    <w:p w14:paraId="1DA8128D" w14:textId="77777777" w:rsidR="00E472B5" w:rsidRDefault="00000000">
      <w:r>
        <w:t>В собственной учебной модели проблема связывается с практикой, ближайшим результатом и более широкой пользой. Непонятно, как исправить бриф; проводится разбор; автор вносит объяснимое изменение; качество самостоятельной работы потенциально улучшается. Последний переход остается гипотезой до отдельной проверки.</w:t>
      </w:r>
    </w:p>
    <w:p w14:paraId="53DC76D3" w14:textId="77777777" w:rsidR="00E472B5" w:rsidRDefault="00000000">
      <w:r>
        <w:t>Цель содержит группу, действие, период и метод измерения. «Повысить доверие на 30%» недостаточно без определения доверия и базы процента. Для пилота можно измерить долю авторов, способных после ответа назвать следующий шаг. Это ограниченный показатель, не вся репутация сообщества.</w:t>
      </w:r>
    </w:p>
    <w:p w14:paraId="4BC7610E" w14:textId="77777777" w:rsidR="00E472B5" w:rsidRDefault="00000000">
      <w:pPr>
        <w:pStyle w:val="31"/>
      </w:pPr>
      <w:r>
        <w:t>Основной показатель и защитные условия</w:t>
      </w:r>
    </w:p>
    <w:p w14:paraId="3AE33F36" w14:textId="77777777" w:rsidR="00E472B5" w:rsidRDefault="00000000">
      <w:r>
        <w:t>Основной показатель отражает пользу. Защитные условия ограничивают нежелательный обмен: не растут унижающие ответы, перегрузка, публикация персональных документов. Числовой успех не делает решение приемлемым при нарушении существенных границ.</w:t>
      </w:r>
    </w:p>
    <w:p w14:paraId="3AFCCE63" w14:textId="77777777" w:rsidR="00E472B5" w:rsidRDefault="00000000">
      <w:r>
        <w:t>План включает обязательное основание, пилот и расширение после оценки. До приглашения широкой аудитории нужны правила, помощь, минимальный архив и доступные ответственные. Пилот проверяет ограниченный маршрут. Расширение требует ресурса, а не только успешного объявления.</w:t>
      </w:r>
    </w:p>
    <w:p w14:paraId="0F8688A8" w14:textId="77777777" w:rsidR="00E472B5" w:rsidRDefault="00000000">
      <w:r>
        <w:t>Риски описывают ситуациями: ключевой помощник недоступен; спор не имеет независимого рассмотрения; партнер ожидает скрытого продвижения. Для каждого нужны признак, ответственный и действие. Произвольные проценты вероятности не повышают качество при отсутствии данных.</w:t>
      </w:r>
    </w:p>
    <w:p w14:paraId="37353C98" w14:textId="77777777" w:rsidR="00E472B5" w:rsidRDefault="00000000">
      <w:r>
        <w:t>Стратегия должна допускать отказ от исходной идеи. Если люди предпочитают справочник и не нуждаются в обсуждении, возможно, полезнее улучшать базу знаний. Это содержательный итог исследования, предотвращающий расходы на неподходящий формат.</w:t>
      </w:r>
    </w:p>
    <w:p w14:paraId="10626977" w14:textId="77777777" w:rsidR="00E472B5" w:rsidRDefault="00000000">
      <w:r>
        <w:t>Рекомендация может быть определенной и при неполном знании: разрешить ограниченный пилот, выделить часы и согласовать пересмотр. Важно не представлять разрешение как доказательство превосходства выбранного решения.</w:t>
      </w:r>
    </w:p>
    <w:p w14:paraId="2A74B055" w14:textId="77777777" w:rsidR="00E472B5" w:rsidRDefault="00000000">
      <w:pPr>
        <w:pStyle w:val="21"/>
        <w:pageBreakBefore/>
      </w:pPr>
      <w:r>
        <w:lastRenderedPageBreak/>
        <w:t>3. Реальная практика: управление Python PEP 13</w:t>
      </w:r>
    </w:p>
    <w:p w14:paraId="599D65E6" w14:textId="77777777" w:rsidR="00E472B5" w:rsidRDefault="00000000">
      <w:r>
        <w:rPr>
          <w:b/>
        </w:rPr>
        <w:t>Досье источника.</w:t>
      </w:r>
      <w:r>
        <w:t xml:space="preserve"> PEP 13, созданный 16 декабря 2018 года, оформляет модель управления Python после обсуждения смены руководства. В ней предусмотрен совет из пяти участников. Мандат связан с качеством языка, доступностью участия и устойчивостью сообщества. Документ описывает поиск согласия, делегирование, публичность там, где она допустима, и отвод при конфликте интересов [1]. Это регламент, не эксперимент эффективности управления.</w:t>
      </w:r>
    </w:p>
    <w:p w14:paraId="065B0B2A" w14:textId="77777777" w:rsidR="00E472B5" w:rsidRDefault="00000000">
      <w:r>
        <w:t>Стратегия перестает быть только заявлением ценностей, когда ясно, кто вправе изменить правило, разрешить спор и передать работу. Для учебного вывода не нужны имена нынешних членов совета: их состав может изменяться.</w:t>
      </w:r>
    </w:p>
    <w:tbl>
      <w:tblPr>
        <w:tblW w:w="0" w:type="auto"/>
        <w:jc w:val="center"/>
        <w:tblLayout w:type="fixed"/>
        <w:tblLook w:val="04A0" w:firstRow="1" w:lastRow="0" w:firstColumn="1" w:lastColumn="0" w:noHBand="0" w:noVBand="1"/>
      </w:tblPr>
      <w:tblGrid>
        <w:gridCol w:w="3061"/>
        <w:gridCol w:w="6463"/>
      </w:tblGrid>
      <w:tr w:rsidR="00E472B5" w14:paraId="46F2D772" w14:textId="77777777">
        <w:trPr>
          <w:cantSplit/>
          <w:tblHeader/>
          <w:jc w:val="center"/>
        </w:trPr>
        <w:tc>
          <w:tcPr>
            <w:tcW w:w="3061" w:type="dxa"/>
            <w:shd w:val="clear" w:color="auto" w:fill="183748"/>
            <w:tcMar>
              <w:top w:w="85" w:type="dxa"/>
              <w:left w:w="85" w:type="dxa"/>
              <w:bottom w:w="85" w:type="dxa"/>
              <w:right w:w="85" w:type="dxa"/>
            </w:tcMar>
            <w:vAlign w:val="center"/>
          </w:tcPr>
          <w:p w14:paraId="6DC7FF3B" w14:textId="77777777" w:rsidR="00E472B5" w:rsidRDefault="00000000">
            <w:pPr>
              <w:pStyle w:val="TableText"/>
            </w:pPr>
            <w:r>
              <w:rPr>
                <w:b/>
                <w:color w:val="FFFFFF"/>
              </w:rPr>
              <w:t>Принцип</w:t>
            </w:r>
          </w:p>
        </w:tc>
        <w:tc>
          <w:tcPr>
            <w:tcW w:w="6463" w:type="dxa"/>
            <w:shd w:val="clear" w:color="auto" w:fill="183748"/>
            <w:tcMar>
              <w:top w:w="85" w:type="dxa"/>
              <w:left w:w="85" w:type="dxa"/>
              <w:bottom w:w="85" w:type="dxa"/>
              <w:right w:w="85" w:type="dxa"/>
            </w:tcMar>
            <w:vAlign w:val="center"/>
          </w:tcPr>
          <w:p w14:paraId="2C976462" w14:textId="77777777" w:rsidR="00E472B5" w:rsidRDefault="00000000">
            <w:pPr>
              <w:pStyle w:val="TableText"/>
            </w:pPr>
            <w:r>
              <w:rPr>
                <w:b/>
                <w:color w:val="FFFFFF"/>
              </w:rPr>
              <w:t>Вопрос малой команды</w:t>
            </w:r>
          </w:p>
        </w:tc>
      </w:tr>
      <w:tr w:rsidR="00E472B5" w14:paraId="3E35C6A9" w14:textId="77777777">
        <w:trPr>
          <w:cantSplit/>
          <w:jc w:val="center"/>
        </w:trPr>
        <w:tc>
          <w:tcPr>
            <w:tcW w:w="3061" w:type="dxa"/>
            <w:shd w:val="clear" w:color="auto" w:fill="F0F4F6"/>
            <w:tcMar>
              <w:top w:w="85" w:type="dxa"/>
              <w:left w:w="85" w:type="dxa"/>
              <w:bottom w:w="85" w:type="dxa"/>
              <w:right w:w="85" w:type="dxa"/>
            </w:tcMar>
            <w:vAlign w:val="center"/>
          </w:tcPr>
          <w:p w14:paraId="6D401411" w14:textId="77777777" w:rsidR="00E472B5" w:rsidRDefault="00000000">
            <w:pPr>
              <w:pStyle w:val="TableText"/>
            </w:pPr>
            <w:r>
              <w:t>Мандат связан с назначением</w:t>
            </w:r>
          </w:p>
        </w:tc>
        <w:tc>
          <w:tcPr>
            <w:tcW w:w="6463" w:type="dxa"/>
            <w:shd w:val="clear" w:color="auto" w:fill="F0F4F6"/>
            <w:tcMar>
              <w:top w:w="85" w:type="dxa"/>
              <w:left w:w="85" w:type="dxa"/>
              <w:bottom w:w="85" w:type="dxa"/>
              <w:right w:w="85" w:type="dxa"/>
            </w:tcMar>
            <w:vAlign w:val="center"/>
          </w:tcPr>
          <w:p w14:paraId="4E4EC058" w14:textId="77777777" w:rsidR="00E472B5" w:rsidRPr="00323A14" w:rsidRDefault="00000000">
            <w:pPr>
              <w:pStyle w:val="TableText"/>
              <w:rPr>
                <w:lang w:val="ru-RU"/>
              </w:rPr>
            </w:pPr>
            <w:r w:rsidRPr="00323A14">
              <w:rPr>
                <w:lang w:val="ru-RU"/>
              </w:rPr>
              <w:t>За какие результаты отвечает управляющая роль?</w:t>
            </w:r>
          </w:p>
        </w:tc>
      </w:tr>
      <w:tr w:rsidR="00E472B5" w14:paraId="11FBBC21" w14:textId="77777777">
        <w:trPr>
          <w:cantSplit/>
          <w:jc w:val="center"/>
        </w:trPr>
        <w:tc>
          <w:tcPr>
            <w:tcW w:w="3061" w:type="dxa"/>
            <w:tcMar>
              <w:top w:w="85" w:type="dxa"/>
              <w:left w:w="85" w:type="dxa"/>
              <w:bottom w:w="85" w:type="dxa"/>
              <w:right w:w="85" w:type="dxa"/>
            </w:tcMar>
            <w:vAlign w:val="center"/>
          </w:tcPr>
          <w:p w14:paraId="3013214E" w14:textId="77777777" w:rsidR="00E472B5" w:rsidRDefault="00000000">
            <w:pPr>
              <w:pStyle w:val="TableText"/>
            </w:pPr>
            <w:r>
              <w:t>Полномочия делегируются</w:t>
            </w:r>
          </w:p>
        </w:tc>
        <w:tc>
          <w:tcPr>
            <w:tcW w:w="6463" w:type="dxa"/>
            <w:tcMar>
              <w:top w:w="85" w:type="dxa"/>
              <w:left w:w="85" w:type="dxa"/>
              <w:bottom w:w="85" w:type="dxa"/>
              <w:right w:w="85" w:type="dxa"/>
            </w:tcMar>
            <w:vAlign w:val="center"/>
          </w:tcPr>
          <w:p w14:paraId="68F173FE" w14:textId="77777777" w:rsidR="00E472B5" w:rsidRPr="00323A14" w:rsidRDefault="00000000">
            <w:pPr>
              <w:pStyle w:val="TableText"/>
              <w:rPr>
                <w:lang w:val="ru-RU"/>
              </w:rPr>
            </w:pPr>
            <w:r w:rsidRPr="00323A14">
              <w:rPr>
                <w:lang w:val="ru-RU"/>
              </w:rPr>
              <w:t>Что решается в тематическом разделе?</w:t>
            </w:r>
          </w:p>
        </w:tc>
      </w:tr>
      <w:tr w:rsidR="00E472B5" w14:paraId="0E2F66FA" w14:textId="77777777">
        <w:trPr>
          <w:cantSplit/>
          <w:jc w:val="center"/>
        </w:trPr>
        <w:tc>
          <w:tcPr>
            <w:tcW w:w="3061" w:type="dxa"/>
            <w:shd w:val="clear" w:color="auto" w:fill="F0F4F6"/>
            <w:tcMar>
              <w:top w:w="85" w:type="dxa"/>
              <w:left w:w="85" w:type="dxa"/>
              <w:bottom w:w="85" w:type="dxa"/>
              <w:right w:w="85" w:type="dxa"/>
            </w:tcMar>
            <w:vAlign w:val="center"/>
          </w:tcPr>
          <w:p w14:paraId="016D0433" w14:textId="77777777" w:rsidR="00E472B5" w:rsidRDefault="00000000">
            <w:pPr>
              <w:pStyle w:val="TableText"/>
            </w:pPr>
            <w:r>
              <w:t>Учитывается заинтересованность</w:t>
            </w:r>
          </w:p>
        </w:tc>
        <w:tc>
          <w:tcPr>
            <w:tcW w:w="6463" w:type="dxa"/>
            <w:shd w:val="clear" w:color="auto" w:fill="F0F4F6"/>
            <w:tcMar>
              <w:top w:w="85" w:type="dxa"/>
              <w:left w:w="85" w:type="dxa"/>
              <w:bottom w:w="85" w:type="dxa"/>
              <w:right w:w="85" w:type="dxa"/>
            </w:tcMar>
            <w:vAlign w:val="center"/>
          </w:tcPr>
          <w:p w14:paraId="4E46D392" w14:textId="77777777" w:rsidR="00E472B5" w:rsidRPr="00323A14" w:rsidRDefault="00000000">
            <w:pPr>
              <w:pStyle w:val="TableText"/>
              <w:rPr>
                <w:lang w:val="ru-RU"/>
              </w:rPr>
            </w:pPr>
            <w:r w:rsidRPr="00323A14">
              <w:rPr>
                <w:lang w:val="ru-RU"/>
              </w:rPr>
              <w:t>Кто рассматривает жалобу на коллегу?</w:t>
            </w:r>
          </w:p>
        </w:tc>
      </w:tr>
      <w:tr w:rsidR="00E472B5" w14:paraId="225F840E" w14:textId="77777777">
        <w:trPr>
          <w:cantSplit/>
          <w:jc w:val="center"/>
        </w:trPr>
        <w:tc>
          <w:tcPr>
            <w:tcW w:w="3061" w:type="dxa"/>
            <w:tcMar>
              <w:top w:w="85" w:type="dxa"/>
              <w:left w:w="85" w:type="dxa"/>
              <w:bottom w:w="85" w:type="dxa"/>
              <w:right w:w="85" w:type="dxa"/>
            </w:tcMar>
            <w:vAlign w:val="center"/>
          </w:tcPr>
          <w:p w14:paraId="4B8E4914" w14:textId="77777777" w:rsidR="00E472B5" w:rsidRDefault="00000000">
            <w:pPr>
              <w:pStyle w:val="TableText"/>
            </w:pPr>
            <w:r>
              <w:t>Предусмотрена преемственность</w:t>
            </w:r>
          </w:p>
        </w:tc>
        <w:tc>
          <w:tcPr>
            <w:tcW w:w="6463" w:type="dxa"/>
            <w:tcMar>
              <w:top w:w="85" w:type="dxa"/>
              <w:left w:w="85" w:type="dxa"/>
              <w:bottom w:w="85" w:type="dxa"/>
              <w:right w:w="85" w:type="dxa"/>
            </w:tcMar>
            <w:vAlign w:val="center"/>
          </w:tcPr>
          <w:p w14:paraId="2C967050" w14:textId="77777777" w:rsidR="00E472B5" w:rsidRPr="00323A14" w:rsidRDefault="00000000">
            <w:pPr>
              <w:pStyle w:val="TableText"/>
              <w:rPr>
                <w:lang w:val="ru-RU"/>
              </w:rPr>
            </w:pPr>
            <w:r w:rsidRPr="00323A14">
              <w:rPr>
                <w:lang w:val="ru-RU"/>
              </w:rPr>
              <w:t>Что произойдет при уходе основателя?</w:t>
            </w:r>
          </w:p>
        </w:tc>
      </w:tr>
    </w:tbl>
    <w:p w14:paraId="4559E281" w14:textId="77777777" w:rsidR="00E472B5" w:rsidRDefault="00E472B5">
      <w:pPr>
        <w:spacing w:after="20" w:line="20" w:lineRule="exact"/>
      </w:pPr>
    </w:p>
    <w:p w14:paraId="24534B67" w14:textId="77777777" w:rsidR="00E472B5" w:rsidRDefault="00000000">
      <w:r>
        <w:t>«Практике вместе» не обязательно создавать совет из пяти человек. Достаточно разграничить повседневную модерацию, изменение правил и пересмотр спорного решения. Если все выполняет один человек, обещание независимого обжалования будет недостоверным.</w:t>
      </w:r>
    </w:p>
    <w:p w14:paraId="2A806E69" w14:textId="77777777" w:rsidR="00E472B5" w:rsidRDefault="00000000">
      <w:r>
        <w:t>Открытость не означает публикацию всех подробностей. Спор может содержать личные сведения. Процедуру и примененное правило можно объяснить без превращения рассмотрения в публичный суд. В руководствах открытых проектов также обсуждаются ясные роли и передача лидерства [2].</w:t>
      </w:r>
    </w:p>
    <w:p w14:paraId="1C186A45" w14:textId="77777777" w:rsidR="00E472B5" w:rsidRDefault="00000000">
      <w:r>
        <w:t>Наличие документа не доказывает, что участники понимают его или доверяют ему. В новом проекте нужны собственные проверки: кто принимает решение в конкретном сценарии, как сообщить о проблеме и что доступно при несогласии. Переносятся вопросы об ответственности, а не масштаб чужой структуры.</w:t>
      </w:r>
    </w:p>
    <w:p w14:paraId="6FB18E6A" w14:textId="77777777" w:rsidR="00E472B5" w:rsidRDefault="00000000">
      <w:pPr>
        <w:pStyle w:val="21"/>
        <w:pageBreakBefore/>
      </w:pPr>
      <w:r>
        <w:lastRenderedPageBreak/>
        <w:t>4. Учебный бриф на восемь недель</w:t>
      </w:r>
    </w:p>
    <w:p w14:paraId="09B15EF0" w14:textId="77777777" w:rsidR="00E472B5" w:rsidRDefault="00000000">
      <w:r>
        <w:t>Все параметры условны. Пилот «Практики вместе» поддерживает взаимный разбор учебных вопросов. Команда располагает десятью часами в неделю. Сюда входят ответы, модерация, редактура и оценка; это не десять часов непрерывного присутствия каждый день.</w:t>
      </w:r>
    </w:p>
    <w:p w14:paraId="7493DC59" w14:textId="77777777" w:rsidR="00E472B5" w:rsidRDefault="00000000">
      <w:r>
        <w:t>На подготовке фиксируются назначение, правила и три примера. После ограниченного приглашения наблюдается первый маршрут. На третьей и четвертой неделях проверяется повторяемость помощи. Во второй половине оцениваются пригодность архива, возврат и нагрузка помощников.</w:t>
      </w:r>
    </w:p>
    <w:p w14:paraId="67794741" w14:textId="77777777" w:rsidR="00E472B5" w:rsidRDefault="00000000">
      <w:pPr>
        <w:pStyle w:val="31"/>
      </w:pPr>
      <w:r>
        <w:t>Ресурсная проверка</w:t>
      </w:r>
    </w:p>
    <w:p w14:paraId="32AF6B72" w14:textId="77777777" w:rsidR="00E472B5" w:rsidRDefault="00000000">
      <w:r>
        <w:t>При 24 вопросах и среднем времени ответа 12 минут потребуется 288 минут. Модерация — 120, редактура — 90, анализ — 60. Итого 558 минут, или 9,3 часа. Из десяти часов остается 42 минуты. Это не надежный запас на любой всплеск: среднее не описывает сложные случаи и ожидание специалиста.</w:t>
      </w:r>
    </w:p>
    <w:p w14:paraId="0EB9BE4C" w14:textId="77777777" w:rsidR="00E472B5" w:rsidRDefault="00000000">
      <w:r>
        <w:t>Можно ограничить число одновременно разбираемых работ, добавить самопроверку или подготовить резервного помощника. Обещание отвечать быстрее при прежнем ресурсе не исправляет арифметику. Развитие архива сначала требует времени редактора, хотя позже может уменьшить повторы.</w:t>
      </w:r>
    </w:p>
    <w:p w14:paraId="06C620D6" w14:textId="77777777" w:rsidR="00E472B5" w:rsidRDefault="00000000">
      <w:r>
        <w:t>Критерий пересмотра: если в двух последовательных неделях растет очередь, набор временно ограничивается и выясняется причина. Это собственный учебный порог, не отраслевой стандарт. Срочный риск безопасности не должен ждать двухнедельного наблюдения.</w:t>
      </w:r>
    </w:p>
    <w:p w14:paraId="79E66032" w14:textId="77777777" w:rsidR="00E472B5" w:rsidRDefault="00000000">
      <w:r>
        <w:t>В брифе фиксируется, какое решение нужно сейчас: разрешить пилот с ограниченным охватом, выделить ресурс и назначить обзор. До завершения проверки нет основания обещать коммерческую отдачу или одинаковое участие всех приглашенных.</w:t>
      </w:r>
    </w:p>
    <w:p w14:paraId="16054FAF" w14:textId="77777777" w:rsidR="00E472B5" w:rsidRDefault="00000000">
      <w:r>
        <w:t>Результат пилота оформляется вместе с неизвестным. Если задачи стали сложнее или изменился состав аудитории, старый расчет пересматривают. Прошлое среднее не является постоянной производительностью команды.</w:t>
      </w:r>
    </w:p>
    <w:p w14:paraId="64CEA73E" w14:textId="77777777" w:rsidR="00E472B5" w:rsidRDefault="00000000">
      <w:pPr>
        <w:pStyle w:val="21"/>
        <w:pageBreakBefore/>
      </w:pPr>
      <w:r>
        <w:lastRenderedPageBreak/>
        <w:t>5. Дорожная карта и управление версиями</w:t>
      </w:r>
    </w:p>
    <w:p w14:paraId="66F2D7FA" w14:textId="77777777" w:rsidR="00E472B5" w:rsidRDefault="00000000">
      <w:r>
        <w:t>Дорожная карта показывает результаты и проверки, а не только даты. «Первый месяц — рост, второй — монетизация» непроверяемо. Полезнее этапы понятного входа, устойчивых ответов, готовности ведущих и проверки качества. У каждого этапа есть свидетельство перехода.</w:t>
      </w:r>
    </w:p>
    <w:p w14:paraId="0D548597" w14:textId="77777777" w:rsidR="00E472B5" w:rsidRDefault="00000000">
      <w:r>
        <w:t>Приоритеты учитывают зависимости. Конкурс материалов нельзя запускать без критериев, правил использования и ресурса проверяющих. Платную группу — без состава услуги и условий завершения. Привлекательная идея требует реального процесса.</w:t>
      </w:r>
    </w:p>
    <w:p w14:paraId="7E959751" w14:textId="77777777" w:rsidR="00E472B5" w:rsidRDefault="00000000">
      <w:pPr>
        <w:pStyle w:val="31"/>
      </w:pPr>
      <w:r>
        <w:t>Изменения и участие людей</w:t>
      </w:r>
    </w:p>
    <w:p w14:paraId="4BDAF7BC" w14:textId="77777777" w:rsidR="00E472B5" w:rsidRDefault="00000000">
      <w:r>
        <w:t>У каждой версии стратегии сохраняют дату, основание и измененные предположения. Если интервью показывают пользу короткой асинхронной помощи, отказ от длинных встреч является корректировкой по данным. Его не нужно скрывать под видом изначально неизменного плана.</w:t>
      </w:r>
    </w:p>
    <w:p w14:paraId="2A5EC422" w14:textId="77777777" w:rsidR="00E472B5" w:rsidRDefault="00000000">
      <w:r>
        <w:t>Консультация собирает мнения, голосование дает определенное полномочие выбора, информирование сообщает решение. Назвать консультацию обязательным голосованием, а затем игнорировать результат означает создать ложное ожидание власти. Границы участия объясняют до сбора ответов.</w:t>
      </w:r>
    </w:p>
    <w:p w14:paraId="10972838" w14:textId="77777777" w:rsidR="00E472B5" w:rsidRDefault="00000000">
      <w:r>
        <w:t>Обратимость влияет на масштаб проверки. Название раздела можно испытать локально. Миграция всей базы затрагивает доступ, историю и права и требует более серьезного плана. В стратегии задают остановку и сохранение полезного результата.</w:t>
      </w:r>
    </w:p>
    <w:p w14:paraId="11EE93FC" w14:textId="77777777" w:rsidR="00E472B5" w:rsidRDefault="00000000">
      <w:r>
        <w:t>Качество стратегии проявляется в связи пяти вопросов: зачем участвовать, какую практику поддерживаем, кто решает, каким ресурсом располагаем и что изменит курс. Календарь, показатели и платформа подчиняются этим решениям. Иначе инструменты развиваются отдельно и противоречат общему обещанию.</w:t>
      </w:r>
    </w:p>
    <w:p w14:paraId="3C40F20A" w14:textId="6AE2149A" w:rsidR="00E472B5" w:rsidRPr="00323A14" w:rsidRDefault="00000000" w:rsidP="00323A14">
      <w:r>
        <w:t>Ограниченный, но выполнимый пилот полезнее широкого списка мероприятий без поддержки. Масштабирование рассматривают как новое решение с новым ресурсом, а не автоматическую награду за хорошую презентацию.</w:t>
      </w:r>
    </w:p>
    <w:sectPr w:rsidR="00E472B5" w:rsidRPr="00323A14" w:rsidSect="00034616">
      <w:headerReference w:type="default" r:id="rId8"/>
      <w:footerReference w:type="default" r:id="rId9"/>
      <w:pgSz w:w="11906" w:h="16838"/>
      <w:pgMar w:top="1106" w:right="1191" w:bottom="1077" w:left="1191" w:header="454"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ECB0E" w14:textId="77777777" w:rsidR="00E0672B" w:rsidRDefault="00E0672B">
      <w:pPr>
        <w:spacing w:after="0" w:line="240" w:lineRule="auto"/>
      </w:pPr>
      <w:r>
        <w:separator/>
      </w:r>
    </w:p>
  </w:endnote>
  <w:endnote w:type="continuationSeparator" w:id="0">
    <w:p w14:paraId="0977615E" w14:textId="77777777" w:rsidR="00E0672B" w:rsidRDefault="00E0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1B7A" w14:textId="18BDAA0B" w:rsidR="00E472B5" w:rsidRPr="00323A14" w:rsidRDefault="00E472B5">
    <w:pPr>
      <w:pStyle w:val="Small"/>
      <w:tabs>
        <w:tab w:val="right" w:pos="9524"/>
      </w:tabs>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3A6D8" w14:textId="77777777" w:rsidR="00E0672B" w:rsidRDefault="00E0672B">
      <w:pPr>
        <w:spacing w:after="0" w:line="240" w:lineRule="auto"/>
      </w:pPr>
      <w:r>
        <w:separator/>
      </w:r>
    </w:p>
  </w:footnote>
  <w:footnote w:type="continuationSeparator" w:id="0">
    <w:p w14:paraId="2E117154" w14:textId="77777777" w:rsidR="00E0672B" w:rsidRDefault="00E06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BA8D" w14:textId="4C5CA1F2" w:rsidR="00E472B5" w:rsidRDefault="00E472B5">
    <w:pPr>
      <w:pStyle w:val="Small"/>
      <w:pBdr>
        <w:bottom w:val="single" w:sz="4" w:space="0" w:color="CCD5D9"/>
      </w:pBdr>
      <w:tabs>
        <w:tab w:val="right" w:pos="952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19546583">
    <w:abstractNumId w:val="8"/>
  </w:num>
  <w:num w:numId="2" w16cid:durableId="14233106">
    <w:abstractNumId w:val="6"/>
  </w:num>
  <w:num w:numId="3" w16cid:durableId="579483230">
    <w:abstractNumId w:val="5"/>
  </w:num>
  <w:num w:numId="4" w16cid:durableId="389960822">
    <w:abstractNumId w:val="4"/>
  </w:num>
  <w:num w:numId="5" w16cid:durableId="952829759">
    <w:abstractNumId w:val="7"/>
  </w:num>
  <w:num w:numId="6" w16cid:durableId="300497231">
    <w:abstractNumId w:val="3"/>
  </w:num>
  <w:num w:numId="7" w16cid:durableId="347171968">
    <w:abstractNumId w:val="2"/>
  </w:num>
  <w:num w:numId="8" w16cid:durableId="800735730">
    <w:abstractNumId w:val="1"/>
  </w:num>
  <w:num w:numId="9" w16cid:durableId="21715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3A14"/>
    <w:rsid w:val="00326F90"/>
    <w:rsid w:val="00AA1D8D"/>
    <w:rsid w:val="00B47730"/>
    <w:rsid w:val="00C966C9"/>
    <w:rsid w:val="00CB0664"/>
    <w:rsid w:val="00E0672B"/>
    <w:rsid w:val="00E472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A815EC"/>
  <w14:defaultImageDpi w14:val="300"/>
  <w15:docId w15:val="{8476D16B-A894-44C9-A4BC-D03AD767E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81" w:lineRule="auto"/>
    </w:pPr>
    <w:rPr>
      <w:rFonts w:ascii="Times New Roman" w:hAnsi="Times New Roman"/>
      <w:sz w:val="26"/>
      <w:lang w:val="ru-RU"/>
    </w:rPr>
  </w:style>
  <w:style w:type="paragraph" w:styleId="1">
    <w:name w:val="heading 1"/>
    <w:basedOn w:val="a1"/>
    <w:next w:val="a1"/>
    <w:link w:val="10"/>
    <w:uiPriority w:val="9"/>
    <w:qFormat/>
    <w:rsid w:val="00FC693F"/>
    <w:pPr>
      <w:keepNext/>
      <w:keepLines/>
      <w:spacing w:before="140"/>
      <w:outlineLvl w:val="0"/>
    </w:pPr>
    <w:rPr>
      <w:rFonts w:asciiTheme="majorHAnsi" w:eastAsiaTheme="majorEastAsia" w:hAnsiTheme="majorHAnsi" w:cstheme="majorBidi"/>
      <w:b/>
      <w:bCs/>
      <w:color w:val="183748"/>
      <w:sz w:val="36"/>
      <w:szCs w:val="28"/>
    </w:rPr>
  </w:style>
  <w:style w:type="paragraph" w:styleId="21">
    <w:name w:val="heading 2"/>
    <w:basedOn w:val="a1"/>
    <w:next w:val="a1"/>
    <w:link w:val="22"/>
    <w:uiPriority w:val="9"/>
    <w:unhideWhenUsed/>
    <w:qFormat/>
    <w:rsid w:val="00FC693F"/>
    <w:pPr>
      <w:keepNext/>
      <w:keepLines/>
      <w:spacing w:before="140"/>
      <w:outlineLvl w:val="1"/>
    </w:pPr>
    <w:rPr>
      <w:rFonts w:asciiTheme="majorHAnsi" w:eastAsiaTheme="majorEastAsia" w:hAnsiTheme="majorHAnsi" w:cstheme="majorBidi"/>
      <w:b/>
      <w:bCs/>
      <w:color w:val="267477"/>
      <w:sz w:val="28"/>
      <w:szCs w:val="26"/>
    </w:rPr>
  </w:style>
  <w:style w:type="paragraph" w:styleId="31">
    <w:name w:val="heading 3"/>
    <w:basedOn w:val="a1"/>
    <w:next w:val="a1"/>
    <w:link w:val="32"/>
    <w:uiPriority w:val="9"/>
    <w:unhideWhenUsed/>
    <w:qFormat/>
    <w:rsid w:val="00FC693F"/>
    <w:pPr>
      <w:keepNext/>
      <w:keepLines/>
      <w:spacing w:before="140"/>
      <w:outlineLvl w:val="2"/>
    </w:pPr>
    <w:rPr>
      <w:rFonts w:asciiTheme="majorHAnsi" w:eastAsiaTheme="majorEastAsia" w:hAnsiTheme="majorHAnsi" w:cstheme="majorBidi"/>
      <w:b/>
      <w:bCs/>
      <w:color w:val="183748"/>
      <w:sz w:val="25"/>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40" w:line="240" w:lineRule="auto"/>
      <w:contextualSpacing/>
    </w:pPr>
    <w:rPr>
      <w:rFonts w:asciiTheme="majorHAnsi" w:eastAsiaTheme="majorEastAsia" w:hAnsiTheme="majorHAnsi" w:cstheme="majorBidi"/>
      <w:b/>
      <w:color w:val="183748"/>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100" w:line="264" w:lineRule="auto"/>
    </w:pPr>
    <w:rPr>
      <w:rFonts w:ascii="Arial" w:hAnsi="Arial"/>
      <w:sz w:val="21"/>
    </w:rPr>
  </w:style>
  <w:style w:type="paragraph" w:customStyle="1" w:styleId="Question">
    <w:name w:val="Question"/>
    <w:pPr>
      <w:spacing w:after="100" w:line="264" w:lineRule="auto"/>
    </w:pPr>
    <w:rPr>
      <w:rFonts w:ascii="Times New Roman" w:hAnsi="Times New Roman"/>
      <w:sz w:val="23"/>
    </w:rPr>
  </w:style>
  <w:style w:type="paragraph" w:customStyle="1" w:styleId="Small">
    <w:name w:val="Small"/>
    <w:pPr>
      <w:spacing w:after="100" w:line="264" w:lineRule="auto"/>
    </w:pPr>
    <w:rPr>
      <w:rFonts w:ascii="Arial" w:hAnsi="Arial"/>
      <w:sz w:val="20"/>
    </w:rPr>
  </w:style>
  <w:style w:type="paragraph" w:customStyle="1" w:styleId="Check">
    <w:name w:val="Check"/>
    <w:pPr>
      <w:spacing w:after="100" w:line="264" w:lineRule="auto"/>
    </w:pPr>
    <w:rPr>
      <w:rFonts w:ascii="Times New Roman" w:hAnsi="Times New Roman"/>
    </w:rPr>
  </w:style>
  <w:style w:type="paragraph" w:customStyle="1" w:styleId="Callout">
    <w:name w:val="Callout"/>
    <w:pPr>
      <w:spacing w:after="100" w:line="264"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Лекция 3. Стратегия сообщества: позиционирование, модель ценности и план развития</dc:title>
  <dc:subject>Управление интернет-сообществами</dc:subject>
  <dc:creator>Учебные материалы</dc:creator>
  <cp:keywords/>
  <dc:description/>
  <cp:lastModifiedBy>Mikhail Sizov</cp:lastModifiedBy>
  <cp:revision>3</cp:revision>
  <dcterms:created xsi:type="dcterms:W3CDTF">2013-12-23T23:15:00Z</dcterms:created>
  <dcterms:modified xsi:type="dcterms:W3CDTF">2026-10-08T18:03:00Z</dcterms:modified>
  <cp:category/>
</cp:coreProperties>
</file>