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C359E" w14:textId="77777777" w:rsidR="00590941" w:rsidRPr="00590941" w:rsidRDefault="00000000" w:rsidP="00590941">
      <w:pPr>
        <w:pStyle w:val="aa"/>
      </w:pPr>
      <w:r>
        <w:t>Интернет-сообщество как объект управления: цели, связи и ценность</w:t>
      </w:r>
    </w:p>
    <w:p w14:paraId="2F8D026B" w14:textId="77777777" w:rsidR="00590941" w:rsidRDefault="00590941" w:rsidP="00590941">
      <w:pPr>
        <w:pStyle w:val="aa"/>
        <w:rPr>
          <w:lang w:val="en-US"/>
        </w:rPr>
      </w:pPr>
    </w:p>
    <w:p w14:paraId="1276087A" w14:textId="28C1D820" w:rsidR="00E0617C" w:rsidRDefault="00000000" w:rsidP="00590941">
      <w:pPr>
        <w:pStyle w:val="aa"/>
      </w:pPr>
      <w:r>
        <w:t>1. Рабочее определение и границы</w:t>
      </w:r>
    </w:p>
    <w:p w14:paraId="552FF721" w14:textId="2A5146F3" w:rsidR="00E0617C" w:rsidRDefault="00590941">
      <w:r>
        <w:t>И</w:t>
      </w:r>
      <w:r w:rsidR="00000000">
        <w:t>нтернет-сообщество — группа людей, взаимодействующих вокруг общего предмета, практики или принадлежности, с определенными нормами и возможностью узнавать вклад друг друга. Определение рабочее: проект может быть открытым или закрытым, территориальным или распределенным, временным или долговременным. Важнее описать наблюдаемые отношения, чем присвоить формальную этикетку.</w:t>
      </w:r>
    </w:p>
    <w:p w14:paraId="2C2884EB" w14:textId="77777777" w:rsidR="00E0617C" w:rsidRDefault="00000000">
      <w:r>
        <w:t>Аудитория получает сообщения. Сообщество дополнительно создает связи между участниками. Клиентская база объединена отношением к организации, но клиенты не обязательно общаются между собой. Канал — технический способ распространения; несколько платформ могут обслуживать одну группу. Эти измерения нельзя смешивать.</w:t>
      </w:r>
    </w:p>
    <w:p w14:paraId="297FF7F3" w14:textId="77777777" w:rsidR="00E0617C" w:rsidRDefault="00000000">
      <w:r>
        <w:t>Сообщества практики рассматриваются в исследовательской литературе через обмен опытом и совместное развитие знания. Работа распределенных участников требует внимания к контексту и связям [2]. Для нашего задания отсюда следует вопрос: что люди могут сделать друг для друга такого, чего не заменяет очередная публикация организатора?</w:t>
      </w:r>
    </w:p>
    <w:p w14:paraId="2D57F12E" w14:textId="77777777" w:rsidR="00E0617C" w:rsidRDefault="00000000">
      <w:pPr>
        <w:pStyle w:val="31"/>
      </w:pPr>
      <w:r>
        <w:t>Участие не равно постоянному письму</w:t>
      </w:r>
    </w:p>
    <w:p w14:paraId="21CC4BA1" w14:textId="77777777" w:rsidR="00E0617C" w:rsidRDefault="00000000">
      <w:r>
        <w:t>Человек может читать разборы и применять их, не оставляя сообщений. Это не доказывает ни бесполезность пространства, ни его пользу: нужны сведения о результате. Публичное письмо может быть затруднено временем, языком, безопасностью или отсутствием подходящей задачи. Требование самораскрытия ради красивой доли активных создает лишний барьер.</w:t>
      </w:r>
    </w:p>
    <w:p w14:paraId="357E11C4" w14:textId="77777777" w:rsidR="00E0617C" w:rsidRDefault="00000000">
      <w:r>
        <w:t>Граница сообщества определяет ожидания. Участнику нужно понимать, кому адресовано пространство, какие задачи здесь уместны и чего команда не обещает. «Помогаем получить обратную связь на учебный план» конкретнее, чем «делаем успешными всех». Во втором обещании невозможно установить объем ответственности.</w:t>
      </w:r>
    </w:p>
    <w:p w14:paraId="407C6179" w14:textId="77777777" w:rsidR="00E0617C" w:rsidRDefault="00000000">
      <w:r>
        <w:t>Полезно описать внешние связи: куда направляется официальный вопрос об услуге, где хранится документ и кто решает спор. Сообщество не должно незаметно становиться единственным каналом получения обязательной поддержки.</w:t>
      </w:r>
    </w:p>
    <w:p w14:paraId="7EB42D8E" w14:textId="77777777" w:rsidR="00E0617C" w:rsidRDefault="00000000">
      <w:pPr>
        <w:pStyle w:val="21"/>
        <w:pageBreakBefore/>
      </w:pPr>
      <w:r>
        <w:lastRenderedPageBreak/>
        <w:t>2. Функции управления и уровни результата</w:t>
      </w:r>
    </w:p>
    <w:p w14:paraId="61448F2E" w14:textId="77777777" w:rsidR="00E0617C" w:rsidRDefault="00000000">
      <w:r>
        <w:t>Комьюнити-менеджер связывает потребности участников с устройством пространства. Он исследует затруднения, развивает отношения, поддерживает инициативы и организует команду. Редактор отвечает за подготовку и обновление материалов; модератор применяет правила; поддержка решает вопросы, требующие полномочий организации. В малом проекте функции совмещаются, но ответственность должна быть названа.</w:t>
      </w:r>
    </w:p>
    <w:p w14:paraId="3E0357CC" w14:textId="77777777" w:rsidR="00590941" w:rsidRDefault="00590941"/>
    <w:tbl>
      <w:tblPr>
        <w:tblW w:w="0" w:type="auto"/>
        <w:jc w:val="center"/>
        <w:tblLayout w:type="fixed"/>
        <w:tblLook w:val="04A0" w:firstRow="1" w:lastRow="0" w:firstColumn="1" w:lastColumn="0" w:noHBand="0" w:noVBand="1"/>
      </w:tblPr>
      <w:tblGrid>
        <w:gridCol w:w="2665"/>
        <w:gridCol w:w="3430"/>
        <w:gridCol w:w="3430"/>
      </w:tblGrid>
      <w:tr w:rsidR="00E0617C" w14:paraId="7EA725E5" w14:textId="77777777">
        <w:trPr>
          <w:cantSplit/>
          <w:tblHeader/>
          <w:jc w:val="center"/>
        </w:trPr>
        <w:tc>
          <w:tcPr>
            <w:tcW w:w="2665" w:type="dxa"/>
            <w:shd w:val="clear" w:color="auto" w:fill="183748"/>
            <w:tcMar>
              <w:top w:w="85" w:type="dxa"/>
              <w:left w:w="85" w:type="dxa"/>
              <w:bottom w:w="85" w:type="dxa"/>
              <w:right w:w="85" w:type="dxa"/>
            </w:tcMar>
            <w:vAlign w:val="center"/>
          </w:tcPr>
          <w:p w14:paraId="1E35B573" w14:textId="77777777" w:rsidR="00E0617C" w:rsidRDefault="00000000">
            <w:pPr>
              <w:pStyle w:val="TableText"/>
            </w:pPr>
            <w:r>
              <w:rPr>
                <w:b/>
                <w:color w:val="FFFFFF"/>
              </w:rPr>
              <w:t>Функция</w:t>
            </w:r>
          </w:p>
        </w:tc>
        <w:tc>
          <w:tcPr>
            <w:tcW w:w="3430" w:type="dxa"/>
            <w:shd w:val="clear" w:color="auto" w:fill="183748"/>
            <w:tcMar>
              <w:top w:w="85" w:type="dxa"/>
              <w:left w:w="85" w:type="dxa"/>
              <w:bottom w:w="85" w:type="dxa"/>
              <w:right w:w="85" w:type="dxa"/>
            </w:tcMar>
            <w:vAlign w:val="center"/>
          </w:tcPr>
          <w:p w14:paraId="0D7EB92C" w14:textId="77777777" w:rsidR="00E0617C" w:rsidRDefault="00000000">
            <w:pPr>
              <w:pStyle w:val="TableText"/>
            </w:pPr>
            <w:r>
              <w:rPr>
                <w:b/>
                <w:color w:val="FFFFFF"/>
              </w:rPr>
              <w:t>Проверяемое действие</w:t>
            </w:r>
          </w:p>
        </w:tc>
        <w:tc>
          <w:tcPr>
            <w:tcW w:w="3430" w:type="dxa"/>
            <w:shd w:val="clear" w:color="auto" w:fill="183748"/>
            <w:tcMar>
              <w:top w:w="85" w:type="dxa"/>
              <w:left w:w="85" w:type="dxa"/>
              <w:bottom w:w="85" w:type="dxa"/>
              <w:right w:w="85" w:type="dxa"/>
            </w:tcMar>
            <w:vAlign w:val="center"/>
          </w:tcPr>
          <w:p w14:paraId="51928FE5" w14:textId="77777777" w:rsidR="00E0617C" w:rsidRDefault="00000000">
            <w:pPr>
              <w:pStyle w:val="TableText"/>
            </w:pPr>
            <w:r>
              <w:rPr>
                <w:b/>
                <w:color w:val="FFFFFF"/>
              </w:rPr>
              <w:t>Чего это не заменяет</w:t>
            </w:r>
          </w:p>
        </w:tc>
      </w:tr>
      <w:tr w:rsidR="00E0617C" w14:paraId="6F1AAACF" w14:textId="77777777">
        <w:trPr>
          <w:cantSplit/>
          <w:jc w:val="center"/>
        </w:trPr>
        <w:tc>
          <w:tcPr>
            <w:tcW w:w="2665" w:type="dxa"/>
            <w:shd w:val="clear" w:color="auto" w:fill="F0F4F6"/>
            <w:tcMar>
              <w:top w:w="85" w:type="dxa"/>
              <w:left w:w="85" w:type="dxa"/>
              <w:bottom w:w="85" w:type="dxa"/>
              <w:right w:w="85" w:type="dxa"/>
            </w:tcMar>
            <w:vAlign w:val="center"/>
          </w:tcPr>
          <w:p w14:paraId="6D65BCFF" w14:textId="77777777" w:rsidR="00E0617C" w:rsidRDefault="00000000">
            <w:pPr>
              <w:pStyle w:val="TableText"/>
            </w:pPr>
            <w:r>
              <w:t>Исследование</w:t>
            </w:r>
          </w:p>
        </w:tc>
        <w:tc>
          <w:tcPr>
            <w:tcW w:w="3430" w:type="dxa"/>
            <w:shd w:val="clear" w:color="auto" w:fill="F0F4F6"/>
            <w:tcMar>
              <w:top w:w="85" w:type="dxa"/>
              <w:left w:w="85" w:type="dxa"/>
              <w:bottom w:w="85" w:type="dxa"/>
              <w:right w:w="85" w:type="dxa"/>
            </w:tcMar>
            <w:vAlign w:val="center"/>
          </w:tcPr>
          <w:p w14:paraId="731077BF" w14:textId="77777777" w:rsidR="00E0617C" w:rsidRPr="00590941" w:rsidRDefault="00000000">
            <w:pPr>
              <w:pStyle w:val="TableText"/>
              <w:rPr>
                <w:lang w:val="ru-RU"/>
              </w:rPr>
            </w:pPr>
            <w:r w:rsidRPr="00590941">
              <w:rPr>
                <w:lang w:val="ru-RU"/>
              </w:rPr>
              <w:t>Разобраны ситуации вступления и ухода</w:t>
            </w:r>
          </w:p>
        </w:tc>
        <w:tc>
          <w:tcPr>
            <w:tcW w:w="3430" w:type="dxa"/>
            <w:shd w:val="clear" w:color="auto" w:fill="F0F4F6"/>
            <w:tcMar>
              <w:top w:w="85" w:type="dxa"/>
              <w:left w:w="85" w:type="dxa"/>
              <w:bottom w:w="85" w:type="dxa"/>
              <w:right w:w="85" w:type="dxa"/>
            </w:tcMar>
            <w:vAlign w:val="center"/>
          </w:tcPr>
          <w:p w14:paraId="59CED6FE" w14:textId="77777777" w:rsidR="00E0617C" w:rsidRDefault="00000000">
            <w:pPr>
              <w:pStyle w:val="TableText"/>
            </w:pPr>
            <w:proofErr w:type="spellStart"/>
            <w:r>
              <w:t>Произвольного</w:t>
            </w:r>
            <w:proofErr w:type="spellEnd"/>
            <w:r>
              <w:t xml:space="preserve"> </w:t>
            </w:r>
            <w:proofErr w:type="spellStart"/>
            <w:r>
              <w:t>портрета</w:t>
            </w:r>
            <w:proofErr w:type="spellEnd"/>
            <w:r>
              <w:t xml:space="preserve"> «</w:t>
            </w:r>
            <w:proofErr w:type="spellStart"/>
            <w:r>
              <w:t>идеального</w:t>
            </w:r>
            <w:proofErr w:type="spellEnd"/>
            <w:r>
              <w:t xml:space="preserve"> </w:t>
            </w:r>
            <w:proofErr w:type="spellStart"/>
            <w:r>
              <w:t>человека</w:t>
            </w:r>
            <w:proofErr w:type="spellEnd"/>
            <w:r>
              <w:t>»</w:t>
            </w:r>
          </w:p>
        </w:tc>
      </w:tr>
      <w:tr w:rsidR="00E0617C" w14:paraId="24093650" w14:textId="77777777">
        <w:trPr>
          <w:cantSplit/>
          <w:jc w:val="center"/>
        </w:trPr>
        <w:tc>
          <w:tcPr>
            <w:tcW w:w="2665" w:type="dxa"/>
            <w:tcMar>
              <w:top w:w="85" w:type="dxa"/>
              <w:left w:w="85" w:type="dxa"/>
              <w:bottom w:w="85" w:type="dxa"/>
              <w:right w:w="85" w:type="dxa"/>
            </w:tcMar>
            <w:vAlign w:val="center"/>
          </w:tcPr>
          <w:p w14:paraId="6D17AD8D" w14:textId="77777777" w:rsidR="00E0617C" w:rsidRDefault="00000000">
            <w:pPr>
              <w:pStyle w:val="TableText"/>
            </w:pPr>
            <w:r>
              <w:t>Организация</w:t>
            </w:r>
          </w:p>
        </w:tc>
        <w:tc>
          <w:tcPr>
            <w:tcW w:w="3430" w:type="dxa"/>
            <w:tcMar>
              <w:top w:w="85" w:type="dxa"/>
              <w:left w:w="85" w:type="dxa"/>
              <w:bottom w:w="85" w:type="dxa"/>
              <w:right w:w="85" w:type="dxa"/>
            </w:tcMar>
            <w:vAlign w:val="center"/>
          </w:tcPr>
          <w:p w14:paraId="4069D8DB" w14:textId="77777777" w:rsidR="00E0617C" w:rsidRPr="00590941" w:rsidRDefault="00000000">
            <w:pPr>
              <w:pStyle w:val="TableText"/>
              <w:rPr>
                <w:lang w:val="ru-RU"/>
              </w:rPr>
            </w:pPr>
            <w:r w:rsidRPr="00590941">
              <w:rPr>
                <w:lang w:val="ru-RU"/>
              </w:rPr>
              <w:t>Назначены роли, каналы и порядок решений</w:t>
            </w:r>
          </w:p>
        </w:tc>
        <w:tc>
          <w:tcPr>
            <w:tcW w:w="3430" w:type="dxa"/>
            <w:tcMar>
              <w:top w:w="85" w:type="dxa"/>
              <w:left w:w="85" w:type="dxa"/>
              <w:bottom w:w="85" w:type="dxa"/>
              <w:right w:w="85" w:type="dxa"/>
            </w:tcMar>
            <w:vAlign w:val="center"/>
          </w:tcPr>
          <w:p w14:paraId="37B13349" w14:textId="77777777" w:rsidR="00E0617C" w:rsidRDefault="00000000">
            <w:pPr>
              <w:pStyle w:val="TableText"/>
            </w:pPr>
            <w:proofErr w:type="spellStart"/>
            <w:r>
              <w:t>Одного</w:t>
            </w:r>
            <w:proofErr w:type="spellEnd"/>
            <w:r>
              <w:t xml:space="preserve"> </w:t>
            </w:r>
            <w:proofErr w:type="spellStart"/>
            <w:r>
              <w:t>описания</w:t>
            </w:r>
            <w:proofErr w:type="spellEnd"/>
            <w:r>
              <w:t xml:space="preserve"> </w:t>
            </w:r>
            <w:proofErr w:type="spellStart"/>
            <w:r>
              <w:t>миссии</w:t>
            </w:r>
            <w:proofErr w:type="spellEnd"/>
          </w:p>
        </w:tc>
      </w:tr>
      <w:tr w:rsidR="00E0617C" w14:paraId="6C5C0A99" w14:textId="77777777">
        <w:trPr>
          <w:cantSplit/>
          <w:jc w:val="center"/>
        </w:trPr>
        <w:tc>
          <w:tcPr>
            <w:tcW w:w="2665" w:type="dxa"/>
            <w:shd w:val="clear" w:color="auto" w:fill="F0F4F6"/>
            <w:tcMar>
              <w:top w:w="85" w:type="dxa"/>
              <w:left w:w="85" w:type="dxa"/>
              <w:bottom w:w="85" w:type="dxa"/>
              <w:right w:w="85" w:type="dxa"/>
            </w:tcMar>
            <w:vAlign w:val="center"/>
          </w:tcPr>
          <w:p w14:paraId="107556C9" w14:textId="77777777" w:rsidR="00E0617C" w:rsidRDefault="00000000">
            <w:pPr>
              <w:pStyle w:val="TableText"/>
            </w:pPr>
            <w:r>
              <w:t>Взаимодействие</w:t>
            </w:r>
          </w:p>
        </w:tc>
        <w:tc>
          <w:tcPr>
            <w:tcW w:w="3430" w:type="dxa"/>
            <w:shd w:val="clear" w:color="auto" w:fill="F0F4F6"/>
            <w:tcMar>
              <w:top w:w="85" w:type="dxa"/>
              <w:left w:w="85" w:type="dxa"/>
              <w:bottom w:w="85" w:type="dxa"/>
              <w:right w:w="85" w:type="dxa"/>
            </w:tcMar>
            <w:vAlign w:val="center"/>
          </w:tcPr>
          <w:p w14:paraId="008F0795" w14:textId="77777777" w:rsidR="00E0617C" w:rsidRDefault="00000000">
            <w:pPr>
              <w:pStyle w:val="TableText"/>
            </w:pPr>
            <w:r>
              <w:t>Вопрос получает уместный ответ</w:t>
            </w:r>
          </w:p>
        </w:tc>
        <w:tc>
          <w:tcPr>
            <w:tcW w:w="3430" w:type="dxa"/>
            <w:shd w:val="clear" w:color="auto" w:fill="F0F4F6"/>
            <w:tcMar>
              <w:top w:w="85" w:type="dxa"/>
              <w:left w:w="85" w:type="dxa"/>
              <w:bottom w:w="85" w:type="dxa"/>
              <w:right w:w="85" w:type="dxa"/>
            </w:tcMar>
            <w:vAlign w:val="center"/>
          </w:tcPr>
          <w:p w14:paraId="0A229934" w14:textId="77777777" w:rsidR="00E0617C" w:rsidRDefault="00000000">
            <w:pPr>
              <w:pStyle w:val="TableText"/>
            </w:pPr>
            <w:r>
              <w:t>Счета любых сообщений</w:t>
            </w:r>
          </w:p>
        </w:tc>
      </w:tr>
      <w:tr w:rsidR="00E0617C" w14:paraId="6634383A" w14:textId="77777777">
        <w:trPr>
          <w:cantSplit/>
          <w:jc w:val="center"/>
        </w:trPr>
        <w:tc>
          <w:tcPr>
            <w:tcW w:w="2665" w:type="dxa"/>
            <w:tcMar>
              <w:top w:w="85" w:type="dxa"/>
              <w:left w:w="85" w:type="dxa"/>
              <w:bottom w:w="85" w:type="dxa"/>
              <w:right w:w="85" w:type="dxa"/>
            </w:tcMar>
            <w:vAlign w:val="center"/>
          </w:tcPr>
          <w:p w14:paraId="220F8974" w14:textId="77777777" w:rsidR="00E0617C" w:rsidRDefault="00000000">
            <w:pPr>
              <w:pStyle w:val="TableText"/>
            </w:pPr>
            <w:r>
              <w:t>Модерация</w:t>
            </w:r>
          </w:p>
        </w:tc>
        <w:tc>
          <w:tcPr>
            <w:tcW w:w="3430" w:type="dxa"/>
            <w:tcMar>
              <w:top w:w="85" w:type="dxa"/>
              <w:left w:w="85" w:type="dxa"/>
              <w:bottom w:w="85" w:type="dxa"/>
              <w:right w:w="85" w:type="dxa"/>
            </w:tcMar>
            <w:vAlign w:val="center"/>
          </w:tcPr>
          <w:p w14:paraId="4918FEBB" w14:textId="77777777" w:rsidR="00E0617C" w:rsidRDefault="00000000">
            <w:pPr>
              <w:pStyle w:val="TableText"/>
            </w:pPr>
            <w:r>
              <w:t>Решение связано с правилом</w:t>
            </w:r>
          </w:p>
        </w:tc>
        <w:tc>
          <w:tcPr>
            <w:tcW w:w="3430" w:type="dxa"/>
            <w:tcMar>
              <w:top w:w="85" w:type="dxa"/>
              <w:left w:w="85" w:type="dxa"/>
              <w:bottom w:w="85" w:type="dxa"/>
              <w:right w:w="85" w:type="dxa"/>
            </w:tcMar>
            <w:vAlign w:val="center"/>
          </w:tcPr>
          <w:p w14:paraId="5EF132BC" w14:textId="77777777" w:rsidR="00E0617C" w:rsidRDefault="00000000">
            <w:pPr>
              <w:pStyle w:val="TableText"/>
            </w:pPr>
            <w:r>
              <w:t>Подавления любой критики</w:t>
            </w:r>
          </w:p>
        </w:tc>
      </w:tr>
      <w:tr w:rsidR="00E0617C" w14:paraId="3A0B6BFF" w14:textId="77777777">
        <w:trPr>
          <w:cantSplit/>
          <w:jc w:val="center"/>
        </w:trPr>
        <w:tc>
          <w:tcPr>
            <w:tcW w:w="2665" w:type="dxa"/>
            <w:shd w:val="clear" w:color="auto" w:fill="F0F4F6"/>
            <w:tcMar>
              <w:top w:w="85" w:type="dxa"/>
              <w:left w:w="85" w:type="dxa"/>
              <w:bottom w:w="85" w:type="dxa"/>
              <w:right w:w="85" w:type="dxa"/>
            </w:tcMar>
            <w:vAlign w:val="center"/>
          </w:tcPr>
          <w:p w14:paraId="7C5DF26B" w14:textId="77777777" w:rsidR="00E0617C" w:rsidRDefault="00000000">
            <w:pPr>
              <w:pStyle w:val="TableText"/>
            </w:pPr>
            <w:r>
              <w:t>Оценка</w:t>
            </w:r>
          </w:p>
        </w:tc>
        <w:tc>
          <w:tcPr>
            <w:tcW w:w="3430" w:type="dxa"/>
            <w:shd w:val="clear" w:color="auto" w:fill="F0F4F6"/>
            <w:tcMar>
              <w:top w:w="85" w:type="dxa"/>
              <w:left w:w="85" w:type="dxa"/>
              <w:bottom w:w="85" w:type="dxa"/>
              <w:right w:w="85" w:type="dxa"/>
            </w:tcMar>
            <w:vAlign w:val="center"/>
          </w:tcPr>
          <w:p w14:paraId="3B29DB8C" w14:textId="77777777" w:rsidR="00E0617C" w:rsidRDefault="00000000">
            <w:pPr>
              <w:pStyle w:val="TableText"/>
            </w:pPr>
            <w:r>
              <w:t>Результат сопоставлен с целью</w:t>
            </w:r>
          </w:p>
        </w:tc>
        <w:tc>
          <w:tcPr>
            <w:tcW w:w="3430" w:type="dxa"/>
            <w:shd w:val="clear" w:color="auto" w:fill="F0F4F6"/>
            <w:tcMar>
              <w:top w:w="85" w:type="dxa"/>
              <w:left w:w="85" w:type="dxa"/>
              <w:bottom w:w="85" w:type="dxa"/>
              <w:right w:w="85" w:type="dxa"/>
            </w:tcMar>
            <w:vAlign w:val="center"/>
          </w:tcPr>
          <w:p w14:paraId="4FD85A42" w14:textId="77777777" w:rsidR="00E0617C" w:rsidRDefault="00000000">
            <w:pPr>
              <w:pStyle w:val="TableText"/>
            </w:pPr>
            <w:r>
              <w:t>Автоматического отчета о подписках</w:t>
            </w:r>
          </w:p>
        </w:tc>
      </w:tr>
    </w:tbl>
    <w:p w14:paraId="633ADD31" w14:textId="77777777" w:rsidR="00E0617C" w:rsidRDefault="00E0617C">
      <w:pPr>
        <w:spacing w:after="20" w:line="20" w:lineRule="exact"/>
      </w:pPr>
    </w:p>
    <w:p w14:paraId="7E3A585B" w14:textId="77777777" w:rsidR="00590941" w:rsidRDefault="00590941"/>
    <w:p w14:paraId="64448C8C" w14:textId="214C1124" w:rsidR="00E0617C" w:rsidRDefault="00000000">
      <w:r>
        <w:t>В рабочей модели различают ресурсы, действия, продукты и дальнейшие результаты. Два часа редактора — ресурс. Опубликованный разбор — продукт. Найденный участником способ исправить проект — результат, который еще нужно проверить. Карьерное продвижение через год нельзя автоматически приписать одному обсуждению.</w:t>
      </w:r>
    </w:p>
    <w:p w14:paraId="34D0B858" w14:textId="77777777" w:rsidR="00E0617C" w:rsidRDefault="00000000">
      <w:r>
        <w:t>Для организации ценность может состоять в развитии знаний, обратной связи о продукте или снижении повторяющихся затруднений. Для участника — в понятном ответе, признании вклада или доступе к совместной работе. Эти стороны не обязаны совпадать полностью. Стратегия должна показать взаимную приемлемость, а не использовать добровольцев только как бесплатную поддержку.</w:t>
      </w:r>
    </w:p>
    <w:p w14:paraId="463CC782" w14:textId="77777777" w:rsidR="00E0617C" w:rsidRDefault="00000000">
      <w:r>
        <w:t>Контроль включает отрицательные последствия: перегрузку помощников, непропорциональную власть активного меньшинства, неясность статуса совета. Рост числа ответов не должен достигаться ценой унижения новичков или распространения неподтвержденных сведений. Поэтому основной показатель полезности дополняется защитным условием качества.</w:t>
      </w:r>
    </w:p>
    <w:p w14:paraId="24BEA144" w14:textId="77777777" w:rsidR="00E0617C" w:rsidRDefault="00000000">
      <w:pPr>
        <w:pStyle w:val="21"/>
        <w:pageBreakBefore/>
      </w:pPr>
      <w:r>
        <w:lastRenderedPageBreak/>
        <w:t>3. Реальный кейс: инфраструктура и самоуправление Wikimedia</w:t>
      </w:r>
    </w:p>
    <w:p w14:paraId="403D7BC7" w14:textId="77777777" w:rsidR="00E0617C" w:rsidRDefault="00000000">
      <w:r>
        <w:rPr>
          <w:b/>
        </w:rPr>
        <w:t>Досье источника.</w:t>
      </w:r>
      <w:r>
        <w:t xml:space="preserve"> Wikimedia Foundation описывает себя как некоммерческую организацию, поддерживающую инфраструктуру Wikipedia и других проектов. Волонтеры создают и проверяют содержание, обсуждают его и участвуют в модерации. Фонд отдельно указывает, что не принимает решения о содержании Wikipedia вместо сообщества [1]. Это описание распределения функций, а не эксперимент по оценке их эффективности.</w:t>
      </w:r>
    </w:p>
    <w:p w14:paraId="11C2657A" w14:textId="58768B2F" w:rsidR="00E0617C" w:rsidRDefault="00000000">
      <w:r>
        <w:t xml:space="preserve">Кейс показывает различие между владельцем инфраструктуры и создателями общего результата. Доступность платформы необходима, но сама по себе не создает проверенное знание. С другой стороны, высокая добровольная активность не отменяет потребности в устойчивой инфраструктуре. </w:t>
      </w:r>
    </w:p>
    <w:p w14:paraId="40EAD1FF" w14:textId="77777777" w:rsidR="00590941" w:rsidRDefault="00590941"/>
    <w:tbl>
      <w:tblPr>
        <w:tblW w:w="0" w:type="auto"/>
        <w:jc w:val="center"/>
        <w:tblLayout w:type="fixed"/>
        <w:tblLook w:val="04A0" w:firstRow="1" w:lastRow="0" w:firstColumn="1" w:lastColumn="0" w:noHBand="0" w:noVBand="1"/>
      </w:tblPr>
      <w:tblGrid>
        <w:gridCol w:w="3061"/>
        <w:gridCol w:w="6463"/>
      </w:tblGrid>
      <w:tr w:rsidR="00E0617C" w14:paraId="0254CF40" w14:textId="77777777">
        <w:trPr>
          <w:cantSplit/>
          <w:tblHeader/>
          <w:jc w:val="center"/>
        </w:trPr>
        <w:tc>
          <w:tcPr>
            <w:tcW w:w="3061" w:type="dxa"/>
            <w:shd w:val="clear" w:color="auto" w:fill="183748"/>
            <w:tcMar>
              <w:top w:w="85" w:type="dxa"/>
              <w:left w:w="85" w:type="dxa"/>
              <w:bottom w:w="85" w:type="dxa"/>
              <w:right w:w="85" w:type="dxa"/>
            </w:tcMar>
            <w:vAlign w:val="center"/>
          </w:tcPr>
          <w:p w14:paraId="69BBA72D" w14:textId="77777777" w:rsidR="00E0617C" w:rsidRDefault="00000000">
            <w:pPr>
              <w:pStyle w:val="TableText"/>
            </w:pPr>
            <w:r>
              <w:rPr>
                <w:b/>
                <w:color w:val="FFFFFF"/>
              </w:rPr>
              <w:t>Вопрос</w:t>
            </w:r>
          </w:p>
        </w:tc>
        <w:tc>
          <w:tcPr>
            <w:tcW w:w="6463" w:type="dxa"/>
            <w:shd w:val="clear" w:color="auto" w:fill="183748"/>
            <w:tcMar>
              <w:top w:w="85" w:type="dxa"/>
              <w:left w:w="85" w:type="dxa"/>
              <w:bottom w:w="85" w:type="dxa"/>
              <w:right w:w="85" w:type="dxa"/>
            </w:tcMar>
            <w:vAlign w:val="center"/>
          </w:tcPr>
          <w:p w14:paraId="5F09497B" w14:textId="77777777" w:rsidR="00E0617C" w:rsidRPr="00590941" w:rsidRDefault="00000000">
            <w:pPr>
              <w:pStyle w:val="TableText"/>
              <w:rPr>
                <w:lang w:val="ru-RU"/>
              </w:rPr>
            </w:pPr>
            <w:r w:rsidRPr="00590941">
              <w:rPr>
                <w:b/>
                <w:color w:val="FFFFFF"/>
                <w:lang w:val="ru-RU"/>
              </w:rPr>
              <w:t>Что выяснить в «Практике вместе»</w:t>
            </w:r>
          </w:p>
        </w:tc>
      </w:tr>
      <w:tr w:rsidR="00E0617C" w14:paraId="1BB33AE1" w14:textId="77777777">
        <w:trPr>
          <w:cantSplit/>
          <w:jc w:val="center"/>
        </w:trPr>
        <w:tc>
          <w:tcPr>
            <w:tcW w:w="3061" w:type="dxa"/>
            <w:shd w:val="clear" w:color="auto" w:fill="F0F4F6"/>
            <w:tcMar>
              <w:top w:w="85" w:type="dxa"/>
              <w:left w:w="85" w:type="dxa"/>
              <w:bottom w:w="85" w:type="dxa"/>
              <w:right w:w="85" w:type="dxa"/>
            </w:tcMar>
            <w:vAlign w:val="center"/>
          </w:tcPr>
          <w:p w14:paraId="0A9F7C61" w14:textId="77777777" w:rsidR="00E0617C" w:rsidRDefault="00000000">
            <w:pPr>
              <w:pStyle w:val="TableText"/>
            </w:pPr>
            <w:r>
              <w:t>Кто поддерживает среду?</w:t>
            </w:r>
          </w:p>
        </w:tc>
        <w:tc>
          <w:tcPr>
            <w:tcW w:w="6463" w:type="dxa"/>
            <w:shd w:val="clear" w:color="auto" w:fill="F0F4F6"/>
            <w:tcMar>
              <w:top w:w="85" w:type="dxa"/>
              <w:left w:w="85" w:type="dxa"/>
              <w:bottom w:w="85" w:type="dxa"/>
              <w:right w:w="85" w:type="dxa"/>
            </w:tcMar>
            <w:vAlign w:val="center"/>
          </w:tcPr>
          <w:p w14:paraId="23735C93" w14:textId="77777777" w:rsidR="00E0617C" w:rsidRPr="00590941" w:rsidRDefault="00000000">
            <w:pPr>
              <w:pStyle w:val="TableText"/>
              <w:rPr>
                <w:lang w:val="ru-RU"/>
              </w:rPr>
            </w:pPr>
            <w:r w:rsidRPr="00590941">
              <w:rPr>
                <w:lang w:val="ru-RU"/>
              </w:rPr>
              <w:t>Кто управляет доступом и обновлениями</w:t>
            </w:r>
          </w:p>
        </w:tc>
      </w:tr>
      <w:tr w:rsidR="00E0617C" w14:paraId="1C76AF62" w14:textId="77777777">
        <w:trPr>
          <w:cantSplit/>
          <w:jc w:val="center"/>
        </w:trPr>
        <w:tc>
          <w:tcPr>
            <w:tcW w:w="3061" w:type="dxa"/>
            <w:tcMar>
              <w:top w:w="85" w:type="dxa"/>
              <w:left w:w="85" w:type="dxa"/>
              <w:bottom w:w="85" w:type="dxa"/>
              <w:right w:w="85" w:type="dxa"/>
            </w:tcMar>
            <w:vAlign w:val="center"/>
          </w:tcPr>
          <w:p w14:paraId="45E678E8" w14:textId="77777777" w:rsidR="00E0617C" w:rsidRDefault="00000000">
            <w:pPr>
              <w:pStyle w:val="TableText"/>
            </w:pPr>
            <w:r>
              <w:t>Кто создает знание?</w:t>
            </w:r>
          </w:p>
        </w:tc>
        <w:tc>
          <w:tcPr>
            <w:tcW w:w="6463" w:type="dxa"/>
            <w:tcMar>
              <w:top w:w="85" w:type="dxa"/>
              <w:left w:w="85" w:type="dxa"/>
              <w:bottom w:w="85" w:type="dxa"/>
              <w:right w:w="85" w:type="dxa"/>
            </w:tcMar>
            <w:vAlign w:val="center"/>
          </w:tcPr>
          <w:p w14:paraId="35B93017" w14:textId="77777777" w:rsidR="00E0617C" w:rsidRPr="00590941" w:rsidRDefault="00000000">
            <w:pPr>
              <w:pStyle w:val="TableText"/>
              <w:rPr>
                <w:lang w:val="ru-RU"/>
              </w:rPr>
            </w:pPr>
            <w:r w:rsidRPr="00590941">
              <w:rPr>
                <w:lang w:val="ru-RU"/>
              </w:rPr>
              <w:t>Кто готовит ответы и проверяет примеры</w:t>
            </w:r>
          </w:p>
        </w:tc>
      </w:tr>
      <w:tr w:rsidR="00E0617C" w14:paraId="68C265E7" w14:textId="77777777">
        <w:trPr>
          <w:cantSplit/>
          <w:jc w:val="center"/>
        </w:trPr>
        <w:tc>
          <w:tcPr>
            <w:tcW w:w="3061" w:type="dxa"/>
            <w:shd w:val="clear" w:color="auto" w:fill="F0F4F6"/>
            <w:tcMar>
              <w:top w:w="85" w:type="dxa"/>
              <w:left w:w="85" w:type="dxa"/>
              <w:bottom w:w="85" w:type="dxa"/>
              <w:right w:w="85" w:type="dxa"/>
            </w:tcMar>
            <w:vAlign w:val="center"/>
          </w:tcPr>
          <w:p w14:paraId="103311F4" w14:textId="77777777" w:rsidR="00E0617C" w:rsidRDefault="00000000">
            <w:pPr>
              <w:pStyle w:val="TableText"/>
            </w:pPr>
            <w:r>
              <w:t>Кто решает спор?</w:t>
            </w:r>
          </w:p>
        </w:tc>
        <w:tc>
          <w:tcPr>
            <w:tcW w:w="6463" w:type="dxa"/>
            <w:shd w:val="clear" w:color="auto" w:fill="F0F4F6"/>
            <w:tcMar>
              <w:top w:w="85" w:type="dxa"/>
              <w:left w:w="85" w:type="dxa"/>
              <w:bottom w:w="85" w:type="dxa"/>
              <w:right w:w="85" w:type="dxa"/>
            </w:tcMar>
            <w:vAlign w:val="center"/>
          </w:tcPr>
          <w:p w14:paraId="12447ED5" w14:textId="77777777" w:rsidR="00E0617C" w:rsidRPr="00590941" w:rsidRDefault="00000000">
            <w:pPr>
              <w:pStyle w:val="TableText"/>
              <w:rPr>
                <w:lang w:val="ru-RU"/>
              </w:rPr>
            </w:pPr>
            <w:r w:rsidRPr="00590941">
              <w:rPr>
                <w:lang w:val="ru-RU"/>
              </w:rPr>
              <w:t>Кто трактует правила и рассматривает обжалование</w:t>
            </w:r>
          </w:p>
        </w:tc>
      </w:tr>
      <w:tr w:rsidR="00E0617C" w14:paraId="5371AEB7" w14:textId="77777777">
        <w:trPr>
          <w:cantSplit/>
          <w:jc w:val="center"/>
        </w:trPr>
        <w:tc>
          <w:tcPr>
            <w:tcW w:w="3061" w:type="dxa"/>
            <w:tcMar>
              <w:top w:w="85" w:type="dxa"/>
              <w:left w:w="85" w:type="dxa"/>
              <w:bottom w:w="85" w:type="dxa"/>
              <w:right w:w="85" w:type="dxa"/>
            </w:tcMar>
            <w:vAlign w:val="center"/>
          </w:tcPr>
          <w:p w14:paraId="04CC356C" w14:textId="77777777" w:rsidR="00E0617C" w:rsidRDefault="00000000">
            <w:pPr>
              <w:pStyle w:val="TableText"/>
            </w:pPr>
            <w:r>
              <w:t>Что остается общим?</w:t>
            </w:r>
          </w:p>
        </w:tc>
        <w:tc>
          <w:tcPr>
            <w:tcW w:w="6463" w:type="dxa"/>
            <w:tcMar>
              <w:top w:w="85" w:type="dxa"/>
              <w:left w:w="85" w:type="dxa"/>
              <w:bottom w:w="85" w:type="dxa"/>
              <w:right w:w="85" w:type="dxa"/>
            </w:tcMar>
            <w:vAlign w:val="center"/>
          </w:tcPr>
          <w:p w14:paraId="292A364B" w14:textId="77777777" w:rsidR="00E0617C" w:rsidRDefault="00000000">
            <w:pPr>
              <w:pStyle w:val="TableText"/>
            </w:pPr>
            <w:r>
              <w:t>Где хранится согласованная инструкция</w:t>
            </w:r>
          </w:p>
        </w:tc>
      </w:tr>
    </w:tbl>
    <w:p w14:paraId="4B4889A8" w14:textId="77777777" w:rsidR="00E0617C" w:rsidRDefault="00E0617C">
      <w:pPr>
        <w:spacing w:after="20" w:line="20" w:lineRule="exact"/>
      </w:pPr>
    </w:p>
    <w:p w14:paraId="569CCD23" w14:textId="77777777" w:rsidR="00590941" w:rsidRDefault="00590941"/>
    <w:p w14:paraId="38D5D071" w14:textId="0B870A24" w:rsidR="00E0617C" w:rsidRDefault="00000000">
      <w:r>
        <w:t>Предположим, организатор хочет утверждать каждый ответ до публикации. Это может снизить риск грубой ошибки, но создает очередь и превращает взаимопомощь в редакционный сервис. Альтернатива — разграничить свободное обсуждение и проверенную базу знаний, показывая статус материалов. Выбор зависит от цены ошибки и возможностей команды.</w:t>
      </w:r>
    </w:p>
    <w:p w14:paraId="7DAA53CB" w14:textId="77777777" w:rsidR="00E0617C" w:rsidRDefault="00000000">
      <w:r>
        <w:t>Обратная крайность — разрешить все и считать ответственность распределенной между всеми. Без понятного решения конфликтов неопределенность фактически переносится на наиболее настойчивых участников. Малой группе достаточно простого регламента: кто решает, когда отвечает и как объясняет основание.</w:t>
      </w:r>
    </w:p>
    <w:p w14:paraId="0A5D7D4C" w14:textId="77777777" w:rsidR="00E0617C" w:rsidRDefault="00000000">
      <w:r>
        <w:t>Описание устройства не доказывает, что каждый участник одинаково влияет на решения или что конфликтов нет. Аналитик отделяет заявленную организационную модель от измеренного опыта конкретных групп. Правильный перенос кейса — постановка вопросов об ответственности, а не копирование внешних атрибутов известного проекта.</w:t>
      </w:r>
    </w:p>
    <w:p w14:paraId="3F9C8B79" w14:textId="77777777" w:rsidR="00E0617C" w:rsidRDefault="00000000">
      <w:pPr>
        <w:pStyle w:val="21"/>
        <w:pageBreakBefore/>
      </w:pPr>
      <w:r>
        <w:lastRenderedPageBreak/>
        <w:t>4. Учебный пример: паспорт сообщества</w:t>
      </w:r>
    </w:p>
    <w:p w14:paraId="739F8A01" w14:textId="77777777" w:rsidR="00E0617C" w:rsidRDefault="00000000">
      <w:r>
        <w:t>Все сведения примера вымышлены. «Практика вместе» создается на восемь недель для взрослых студентов, готовящих первый аналитический проект. Организатор предлагает обсуждение постановки вопроса, обратную связь на план и библиотеку согласованных примеров. Выполнение задания за другого участника не входит в предложение.</w:t>
      </w:r>
    </w:p>
    <w:p w14:paraId="4A7E3B87" w14:textId="77777777" w:rsidR="00E0617C" w:rsidRDefault="00000000">
      <w:r>
        <w:t>Паспорт начинается с задачи: новичку трудно понять, достаточно ли конкретно сформулирован вопрос исследования. Совместная практика — еженедельный разбор трех коротких брифов по общему шаблону. Результат для автора — самостоятельно исправленная формулировка и объяснение изменения. Результат для помощника — опыт аргументированной обратной связи.</w:t>
      </w:r>
    </w:p>
    <w:p w14:paraId="67BE8AEC" w14:textId="77777777" w:rsidR="00E0617C" w:rsidRDefault="00000000">
      <w:pPr>
        <w:pStyle w:val="31"/>
      </w:pPr>
      <w:r>
        <w:t>Что можно измерить</w:t>
      </w:r>
    </w:p>
    <w:p w14:paraId="13E47A9F" w14:textId="77777777" w:rsidR="00E0617C" w:rsidRDefault="00000000">
      <w:r>
        <w:t>В условной первой неделе поступило 30 вопросов. По 21 дан содержательный ответ, а по 14 автор подтвердил, что смог определить следующий шаг. Доля вопросов с ответом: 21 / 30 × 100 = 70%. Доля вопросов с подтвержденным следующим шагом: 14 / 30 × 100 ≈ 46,7%. Неответившие авторы не считаются автоматически удовлетворенными.</w:t>
      </w:r>
    </w:p>
    <w:p w14:paraId="3F40D50B" w14:textId="77777777" w:rsidR="00E0617C" w:rsidRDefault="00000000">
      <w:r>
        <w:t>Регистр различает ответ администратора и другого участника, время ожидания и факт решения. Если один человек задал пять вопросов, число вопросов не равно числу людей. Определения фиксируются до сравнения недель. Для выводов об обучении потребуется отдельная проверка, а не только отметка о полученном ответе.</w:t>
      </w:r>
    </w:p>
    <w:p w14:paraId="3539D213" w14:textId="77777777" w:rsidR="00E0617C" w:rsidRPr="00590941" w:rsidRDefault="00000000">
      <w:pPr>
        <w:pStyle w:val="Callout"/>
        <w:rPr>
          <w:lang w:val="ru-RU"/>
        </w:rPr>
      </w:pPr>
      <w:r w:rsidRPr="00590941">
        <w:rPr>
          <w:lang w:val="ru-RU"/>
        </w:rPr>
        <w:t>Рабочая цель пилота — сделать путь от вопроса к обоснованному следующему действию понятным и посильным для команды. Числовой ориентир выбирают до проверки и называют учебным, а не отраслевой нормой.</w:t>
      </w:r>
    </w:p>
    <w:p w14:paraId="063CFCE5" w14:textId="77777777" w:rsidR="00E0617C" w:rsidRDefault="00000000">
      <w:r>
        <w:t>Паспорт завершает блок ограничений: часы дежурства, язык общения, способ сообщения о нарушении, отсутствие гарантии экспертной проверки каждого утверждения. Обещание «ответим в период дежурства» полезнее недостижимой круглосуточной доступности. Если участнику нужна официальная помощь по обучению, ее маршрут остается отдельным.</w:t>
      </w:r>
    </w:p>
    <w:p w14:paraId="6CBE966F" w14:textId="77777777" w:rsidR="00E0617C" w:rsidRDefault="00000000">
      <w:pPr>
        <w:pStyle w:val="21"/>
        <w:pageBreakBefore/>
      </w:pPr>
      <w:r>
        <w:lastRenderedPageBreak/>
        <w:t>5. Жизненный цикл и первая развилка</w:t>
      </w:r>
    </w:p>
    <w:p w14:paraId="669E17D5" w14:textId="77777777" w:rsidR="00E0617C" w:rsidRDefault="00000000">
      <w:r>
        <w:t>Для курса используется собственная модель: исследование, запуск, развитие повторяемой практики, устойчивое функционирование и пересмотр. Это не универсальный возрастной календарь. Группа может вернуться к исследованию после смены аудитории, перейти в архив после завершения задачи или объединиться с другой инициативой.</w:t>
      </w:r>
    </w:p>
    <w:p w14:paraId="5A053BCA" w14:textId="77777777" w:rsidR="00E0617C" w:rsidRDefault="00000000">
      <w:r>
        <w:t>На запуске важнее первое полезное взаимодействие, чем разнообразие каналов. При развитии проверяется воспроизводимость: способен ли вопрос получить ответ без постоянного вмешательства основателя? При устойчивой работе приоритетами становятся преемственность, качество и работа с конфликтами. Рост числа людей может ухудшить эти показатели, если ресурс не меняется.</w:t>
      </w:r>
    </w:p>
    <w:p w14:paraId="15D3A66D" w14:textId="77777777" w:rsidR="00E0617C" w:rsidRDefault="00000000">
      <w:pPr>
        <w:pStyle w:val="31"/>
      </w:pPr>
      <w:r>
        <w:t>Три причины низкой активности</w:t>
      </w:r>
    </w:p>
    <w:p w14:paraId="73A4689B" w14:textId="77777777" w:rsidR="00E0617C" w:rsidRDefault="00000000">
      <w:r>
        <w:t>Если тема незначима для приглашенных, нужен пересмотр предложения. Если тема важна, но человек не понимает, куда обратиться, полезна доработка входного маршрута. Если вопрос понятен, но никто не отвечает, проблема может быть в дефиците помощников. Один совет «публиковать чаще» не различает эти случаи.</w:t>
      </w:r>
    </w:p>
    <w:p w14:paraId="054DE751" w14:textId="77777777" w:rsidR="00E0617C" w:rsidRDefault="00000000">
      <w:r>
        <w:t>Решения оформляются как гипотезы: наблюдение, предполагаемая причина, изменение и сигнал пересмотра. Например, люди читают правила, но отправляют вопросы лично; предполагается страх публичной ошибки; проверяется безопасный разбор без обязательного указания личных данных. Сам факт чтения правил не доказывает выбранное объяснение.</w:t>
      </w:r>
    </w:p>
    <w:p w14:paraId="18AFBC36" w14:textId="77777777" w:rsidR="00E0617C" w:rsidRDefault="00000000">
      <w:r>
        <w:t>Сообщество не обязано расти бесконечно. Для узкой практики ограниченный состав может поддерживать качество взаимного знания. Если задача завершена, честное закрытие с сохранением полезных материалов иногда лучше искусственного продолжения ради отчетности. Условия завершения обсуждают до кризиса.</w:t>
      </w:r>
    </w:p>
    <w:p w14:paraId="46223AEC" w14:textId="56C67140" w:rsidR="00E0617C" w:rsidRPr="00590941" w:rsidRDefault="00000000" w:rsidP="00590941">
      <w:r>
        <w:t>Итог вводной темы — умение назвать объект, обещание и предел управления. Такая основа позволяет выбирать инструменты осмысленно: платформа обслуживает практику, контент поддерживает действия, а метрики проверяют пользу. Отдельный высокий показатель не заменяет согласованной системы.</w:t>
      </w:r>
    </w:p>
    <w:sectPr w:rsidR="00E0617C" w:rsidRPr="00590941" w:rsidSect="00034616">
      <w:headerReference w:type="default" r:id="rId8"/>
      <w:footerReference w:type="default" r:id="rId9"/>
      <w:pgSz w:w="11906" w:h="16838"/>
      <w:pgMar w:top="1106" w:right="1191" w:bottom="1077" w:left="1191" w:header="454"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A56EE" w14:textId="77777777" w:rsidR="00BE19DE" w:rsidRDefault="00BE19DE">
      <w:pPr>
        <w:spacing w:after="0" w:line="240" w:lineRule="auto"/>
      </w:pPr>
      <w:r>
        <w:separator/>
      </w:r>
    </w:p>
  </w:endnote>
  <w:endnote w:type="continuationSeparator" w:id="0">
    <w:p w14:paraId="3F1D3C21" w14:textId="77777777" w:rsidR="00BE19DE" w:rsidRDefault="00BE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D021" w14:textId="4DFB588B" w:rsidR="00E0617C" w:rsidRPr="00590941" w:rsidRDefault="00E0617C">
    <w:pPr>
      <w:pStyle w:val="Small"/>
      <w:tabs>
        <w:tab w:val="right" w:pos="9524"/>
      </w:tabs>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E935" w14:textId="77777777" w:rsidR="00BE19DE" w:rsidRDefault="00BE19DE">
      <w:pPr>
        <w:spacing w:after="0" w:line="240" w:lineRule="auto"/>
      </w:pPr>
      <w:r>
        <w:separator/>
      </w:r>
    </w:p>
  </w:footnote>
  <w:footnote w:type="continuationSeparator" w:id="0">
    <w:p w14:paraId="4AC3E67E" w14:textId="77777777" w:rsidR="00BE19DE" w:rsidRDefault="00BE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A889" w14:textId="75DA2CF3" w:rsidR="00E0617C" w:rsidRDefault="00E0617C">
    <w:pPr>
      <w:pStyle w:val="Small"/>
      <w:pBdr>
        <w:bottom w:val="single" w:sz="4" w:space="0" w:color="CCD5D9"/>
      </w:pBdr>
      <w:tabs>
        <w:tab w:val="right" w:pos="952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35472615">
    <w:abstractNumId w:val="8"/>
  </w:num>
  <w:num w:numId="2" w16cid:durableId="1107847283">
    <w:abstractNumId w:val="6"/>
  </w:num>
  <w:num w:numId="3" w16cid:durableId="645015102">
    <w:abstractNumId w:val="5"/>
  </w:num>
  <w:num w:numId="4" w16cid:durableId="378893974">
    <w:abstractNumId w:val="4"/>
  </w:num>
  <w:num w:numId="5" w16cid:durableId="1071542564">
    <w:abstractNumId w:val="7"/>
  </w:num>
  <w:num w:numId="6" w16cid:durableId="1609315076">
    <w:abstractNumId w:val="3"/>
  </w:num>
  <w:num w:numId="7" w16cid:durableId="1340428307">
    <w:abstractNumId w:val="2"/>
  </w:num>
  <w:num w:numId="8" w16cid:durableId="805851035">
    <w:abstractNumId w:val="1"/>
  </w:num>
  <w:num w:numId="9" w16cid:durableId="80546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0941"/>
    <w:rsid w:val="00AA1D8D"/>
    <w:rsid w:val="00B47730"/>
    <w:rsid w:val="00BE19DE"/>
    <w:rsid w:val="00CB0664"/>
    <w:rsid w:val="00E0617C"/>
    <w:rsid w:val="00F556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CA3EE2"/>
  <w14:defaultImageDpi w14:val="300"/>
  <w15:docId w15:val="{88420287-5078-4B99-A8A8-EA1FC223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81" w:lineRule="auto"/>
    </w:pPr>
    <w:rPr>
      <w:rFonts w:ascii="Times New Roman" w:hAnsi="Times New Roman"/>
      <w:sz w:val="26"/>
      <w:lang w:val="ru-RU"/>
    </w:rPr>
  </w:style>
  <w:style w:type="paragraph" w:styleId="1">
    <w:name w:val="heading 1"/>
    <w:basedOn w:val="a1"/>
    <w:next w:val="a1"/>
    <w:link w:val="10"/>
    <w:uiPriority w:val="9"/>
    <w:qFormat/>
    <w:rsid w:val="00FC693F"/>
    <w:pPr>
      <w:keepNext/>
      <w:keepLines/>
      <w:spacing w:before="140"/>
      <w:outlineLvl w:val="0"/>
    </w:pPr>
    <w:rPr>
      <w:rFonts w:asciiTheme="majorHAnsi" w:eastAsiaTheme="majorEastAsia" w:hAnsiTheme="majorHAnsi" w:cstheme="majorBidi"/>
      <w:b/>
      <w:bCs/>
      <w:color w:val="183748"/>
      <w:sz w:val="36"/>
      <w:szCs w:val="28"/>
    </w:rPr>
  </w:style>
  <w:style w:type="paragraph" w:styleId="21">
    <w:name w:val="heading 2"/>
    <w:basedOn w:val="a1"/>
    <w:next w:val="a1"/>
    <w:link w:val="22"/>
    <w:uiPriority w:val="9"/>
    <w:unhideWhenUsed/>
    <w:qFormat/>
    <w:rsid w:val="00FC693F"/>
    <w:pPr>
      <w:keepNext/>
      <w:keepLines/>
      <w:spacing w:before="140"/>
      <w:outlineLvl w:val="1"/>
    </w:pPr>
    <w:rPr>
      <w:rFonts w:asciiTheme="majorHAnsi" w:eastAsiaTheme="majorEastAsia" w:hAnsiTheme="majorHAnsi" w:cstheme="majorBidi"/>
      <w:b/>
      <w:bCs/>
      <w:color w:val="267477"/>
      <w:sz w:val="28"/>
      <w:szCs w:val="26"/>
    </w:rPr>
  </w:style>
  <w:style w:type="paragraph" w:styleId="31">
    <w:name w:val="heading 3"/>
    <w:basedOn w:val="a1"/>
    <w:next w:val="a1"/>
    <w:link w:val="32"/>
    <w:uiPriority w:val="9"/>
    <w:unhideWhenUsed/>
    <w:qFormat/>
    <w:rsid w:val="00FC693F"/>
    <w:pPr>
      <w:keepNext/>
      <w:keepLines/>
      <w:spacing w:before="140"/>
      <w:outlineLvl w:val="2"/>
    </w:pPr>
    <w:rPr>
      <w:rFonts w:asciiTheme="majorHAnsi" w:eastAsiaTheme="majorEastAsia" w:hAnsiTheme="majorHAnsi" w:cstheme="majorBidi"/>
      <w:b/>
      <w:bCs/>
      <w:color w:val="183748"/>
      <w:sz w:val="25"/>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40" w:line="240" w:lineRule="auto"/>
      <w:contextualSpacing/>
    </w:pPr>
    <w:rPr>
      <w:rFonts w:asciiTheme="majorHAnsi" w:eastAsiaTheme="majorEastAsia" w:hAnsiTheme="majorHAnsi" w:cstheme="majorBidi"/>
      <w:b/>
      <w:color w:val="183748"/>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100" w:line="264" w:lineRule="auto"/>
    </w:pPr>
    <w:rPr>
      <w:rFonts w:ascii="Arial" w:hAnsi="Arial"/>
      <w:sz w:val="21"/>
    </w:rPr>
  </w:style>
  <w:style w:type="paragraph" w:customStyle="1" w:styleId="Question">
    <w:name w:val="Question"/>
    <w:pPr>
      <w:spacing w:after="100" w:line="264" w:lineRule="auto"/>
    </w:pPr>
    <w:rPr>
      <w:rFonts w:ascii="Times New Roman" w:hAnsi="Times New Roman"/>
      <w:sz w:val="23"/>
    </w:rPr>
  </w:style>
  <w:style w:type="paragraph" w:customStyle="1" w:styleId="Small">
    <w:name w:val="Small"/>
    <w:pPr>
      <w:spacing w:after="100" w:line="264" w:lineRule="auto"/>
    </w:pPr>
    <w:rPr>
      <w:rFonts w:ascii="Arial" w:hAnsi="Arial"/>
      <w:sz w:val="20"/>
    </w:rPr>
  </w:style>
  <w:style w:type="paragraph" w:customStyle="1" w:styleId="Check">
    <w:name w:val="Check"/>
    <w:pPr>
      <w:spacing w:after="100" w:line="264" w:lineRule="auto"/>
    </w:pPr>
    <w:rPr>
      <w:rFonts w:ascii="Times New Roman" w:hAnsi="Times New Roman"/>
    </w:rPr>
  </w:style>
  <w:style w:type="paragraph" w:customStyle="1" w:styleId="Callout">
    <w:name w:val="Callout"/>
    <w:pPr>
      <w:spacing w:after="100" w:line="264"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Лекция 1. Интернет-сообщество как объект управления: цели, связи и ценность</dc:title>
  <dc:subject>Управление интернет-сообществами</dc:subject>
  <dc:creator>Учебные материалы</dc:creator>
  <cp:keywords/>
  <dc:description/>
  <cp:lastModifiedBy>Mikhail Sizov</cp:lastModifiedBy>
  <cp:revision>3</cp:revision>
  <dcterms:created xsi:type="dcterms:W3CDTF">2013-12-23T23:15:00Z</dcterms:created>
  <dcterms:modified xsi:type="dcterms:W3CDTF">2026-10-08T17:59:00Z</dcterms:modified>
  <cp:category/>
</cp:coreProperties>
</file>