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5A2" w:rsidRDefault="00654FA5">
      <w:pPr>
        <w:pStyle w:val="aa"/>
        <w:ind w:left="709"/>
      </w:pPr>
      <w:bookmarkStart w:id="0" w:name="_GoBack"/>
      <w:bookmarkEnd w:id="0"/>
      <w:r>
        <w:t>Источники к лекциям по аудиту</w:t>
      </w:r>
    </w:p>
    <w:p w:rsidR="003B05A2" w:rsidRDefault="00654FA5">
      <w:pPr>
        <w:ind w:firstLine="709"/>
        <w:jc w:val="both"/>
      </w:pPr>
      <w:r>
        <w:t>Нормативная и методическая база проверена по состоянию на 6 октября 2026 года. Для конкретного задания редакция определяется датой применения и проверяемым периодом.</w:t>
      </w:r>
    </w:p>
    <w:p w:rsidR="003B05A2" w:rsidRDefault="00654FA5">
      <w:pPr>
        <w:ind w:firstLine="709"/>
        <w:jc w:val="both"/>
      </w:pPr>
      <w:r>
        <w:t xml:space="preserve">[1] Закон РК от 20 ноября 1998 года № 304 «Об аудиторской </w:t>
      </w:r>
      <w:r>
        <w:t>деятельности».</w:t>
      </w:r>
      <w:r>
        <w:br/>
        <w:t>https://old.adilet.zan.kz/rus/docs/Z980000304_</w:t>
      </w:r>
    </w:p>
    <w:p w:rsidR="003B05A2" w:rsidRDefault="00654FA5">
      <w:pPr>
        <w:ind w:firstLine="709"/>
        <w:jc w:val="both"/>
      </w:pPr>
      <w:r>
        <w:t>[2] Закон РК от 28 февраля 2007 года № 234 «О бухгалтерском учёте и финансовой отчётности».</w:t>
      </w:r>
      <w:r>
        <w:br/>
        <w:t>https://old.adilet.zan.kz/rus/docs/Z070000234_</w:t>
      </w:r>
    </w:p>
    <w:p w:rsidR="003B05A2" w:rsidRDefault="00654FA5">
      <w:pPr>
        <w:ind w:firstLine="709"/>
        <w:jc w:val="both"/>
      </w:pPr>
      <w:r>
        <w:t>[3] IAASB. Сборник международных стандартов, издание 20</w:t>
      </w:r>
      <w:r>
        <w:t>26 года. МСА и стандарты управления качеством.</w:t>
      </w:r>
      <w:r>
        <w:br/>
        <w:t>https://www.iaasb.org/publications/2026-handbook-international-quality-management-auditing-review-sustainability-and-other-assurance</w:t>
      </w:r>
    </w:p>
    <w:p w:rsidR="003B05A2" w:rsidRDefault="00654FA5">
      <w:pPr>
        <w:ind w:firstLine="709"/>
        <w:jc w:val="both"/>
      </w:pPr>
      <w:r>
        <w:t xml:space="preserve">[4] IESBA. Международный кодекс этики профессиональных бухгалтеров, издание </w:t>
      </w:r>
      <w:r>
        <w:t>2026 года.</w:t>
      </w:r>
      <w:r>
        <w:br/>
        <w:t>https://www.ethicsboard.org/publications/2026-handbook-international-code-ethics-professional-accountants</w:t>
      </w:r>
    </w:p>
    <w:p w:rsidR="003B05A2" w:rsidRDefault="00654FA5">
      <w:pPr>
        <w:ind w:firstLine="709"/>
        <w:jc w:val="both"/>
      </w:pPr>
      <w:r>
        <w:t>[5] IIA. Глобальные стандарты внутреннего аудита, действующие с 9 января 2025 года.</w:t>
      </w:r>
      <w:r>
        <w:br/>
        <w:t>https://www.theiia.org/en/standards/2024-standards/glob</w:t>
      </w:r>
      <w:r>
        <w:t>al-internal-audit-standards/</w:t>
      </w:r>
    </w:p>
    <w:p w:rsidR="003B05A2" w:rsidRDefault="00654FA5">
      <w:pPr>
        <w:ind w:firstLine="709"/>
        <w:jc w:val="both"/>
      </w:pPr>
      <w:r>
        <w:t>[6] Приказ Минфина РК от 23 мая 2007 года № 185. Типовой план счетов; редакция выбирается по дате действия.</w:t>
      </w:r>
      <w:r>
        <w:br/>
        <w:t>https://old.adilet.zan.kz/rus/docs/V070004771_</w:t>
      </w:r>
    </w:p>
    <w:p w:rsidR="003B05A2" w:rsidRDefault="00654FA5">
      <w:pPr>
        <w:ind w:firstLine="709"/>
        <w:jc w:val="both"/>
      </w:pPr>
      <w:r>
        <w:t>[7] Приказ Минфина РК от 6 августа 2026 года № 533. Новая редакция плана</w:t>
      </w:r>
      <w:r>
        <w:t xml:space="preserve"> счетов с 1 января 2027 года.</w:t>
      </w:r>
      <w:r>
        <w:br/>
        <w:t>https://old.adilet.zan.kz/rus/docs/G26E0000533</w:t>
      </w:r>
    </w:p>
    <w:p w:rsidR="003B05A2" w:rsidRDefault="00654FA5">
      <w:pPr>
        <w:ind w:firstLine="709"/>
        <w:jc w:val="both"/>
      </w:pPr>
      <w:r>
        <w:t>[8] Налоговый кодекс РК от 18 июля 2025 года № 214-VIII.</w:t>
      </w:r>
      <w:r>
        <w:br/>
        <w:t>https://old.adilet.zan.kz/rus/docs/K2500000214</w:t>
      </w:r>
    </w:p>
    <w:p w:rsidR="003B05A2" w:rsidRDefault="00654FA5">
      <w:pPr>
        <w:ind w:firstLine="709"/>
        <w:jc w:val="both"/>
      </w:pPr>
      <w:r>
        <w:t>[9] IAASB. Управление качеством: ISQM 1, ISQM 2 и МСА 220.</w:t>
      </w:r>
      <w:r>
        <w:br/>
        <w:t>https://www.iaas</w:t>
      </w:r>
      <w:r>
        <w:t>b.org/focus-areas/quality-management</w:t>
      </w:r>
    </w:p>
    <w:p w:rsidR="003B05A2" w:rsidRDefault="00654FA5">
      <w:pPr>
        <w:ind w:firstLine="709"/>
        <w:jc w:val="both"/>
      </w:pPr>
      <w:r>
        <w:t>[10] IAASB. МСА 315 в пересмотренной редакции 2019 года.</w:t>
      </w:r>
      <w:r>
        <w:br/>
        <w:t>https://www.iaasb.org/publications/isa-315-revised-2019-identifying-and-assessing-risks-material-misstatement</w:t>
      </w:r>
    </w:p>
    <w:p w:rsidR="003B05A2" w:rsidRDefault="00654FA5">
      <w:pPr>
        <w:ind w:firstLine="709"/>
        <w:jc w:val="both"/>
      </w:pPr>
      <w:r>
        <w:t>[11] IAASB. МСА 240 в пересмотренной редакции: приме</w:t>
      </w:r>
      <w:r>
        <w:t>нение к периодам с 15 декабря 2026 года.</w:t>
      </w:r>
      <w:r>
        <w:br/>
        <w:t>https://www.iaasb.org/publications/isa-240-revised-auditor-s-responsibilities-relating-fraud-audit-financial-statements</w:t>
      </w:r>
    </w:p>
    <w:p w:rsidR="003B05A2" w:rsidRDefault="00654FA5">
      <w:pPr>
        <w:ind w:firstLine="709"/>
        <w:jc w:val="both"/>
      </w:pPr>
      <w:r>
        <w:t>[12] IAASB. МСА 570 в пересмотренной редакции 2024 года: применение к периодам с 15 декабря 202</w:t>
      </w:r>
      <w:r>
        <w:t>6 года.</w:t>
      </w:r>
      <w:r>
        <w:br/>
        <w:t>https://www.iaasb.org/publications/isa-570-revised-2024-going-concern</w:t>
      </w:r>
    </w:p>
    <w:p w:rsidR="003B05A2" w:rsidRDefault="00654FA5">
      <w:pPr>
        <w:ind w:firstLine="709"/>
        <w:jc w:val="both"/>
      </w:pPr>
      <w:r>
        <w:t>[13] IAASB. Проекты изменений МСА 330, 500 и 520 от 5 августа 2026 года.</w:t>
      </w:r>
      <w:r>
        <w:br/>
        <w:t>https://www.iaasb.org/publications/proposed-revisions-audit-evidence-risk-response-isa-330-isa-500-isa-52</w:t>
      </w:r>
      <w:r>
        <w:t>0</w:t>
      </w:r>
    </w:p>
    <w:p w:rsidR="003B05A2" w:rsidRDefault="00654FA5">
      <w:pPr>
        <w:ind w:firstLine="709"/>
        <w:jc w:val="both"/>
      </w:pPr>
      <w:r>
        <w:t>[14] IFRS Foundation. IAS 2 «Запасы».</w:t>
      </w:r>
      <w:r>
        <w:br/>
        <w:t>https://www.ifrs.org/issued-standards/list-of-standards/ias-2-inventories/</w:t>
      </w:r>
    </w:p>
    <w:p w:rsidR="003B05A2" w:rsidRDefault="00654FA5">
      <w:pPr>
        <w:ind w:firstLine="709"/>
        <w:jc w:val="both"/>
      </w:pPr>
      <w:r>
        <w:t>[15] IFRS Foundation. IFRS 15 «Выручка по договорам с покупателями».</w:t>
      </w:r>
      <w:r>
        <w:br/>
        <w:t>https://www.ifrs.org/issued-standards/list-of-standards/ifrs-15-revenue-</w:t>
      </w:r>
      <w:r>
        <w:t>from-contracts-with-customers/</w:t>
      </w:r>
    </w:p>
    <w:p w:rsidR="003B05A2" w:rsidRDefault="00654FA5">
      <w:pPr>
        <w:ind w:firstLine="709"/>
        <w:jc w:val="both"/>
      </w:pPr>
      <w:r>
        <w:t>[16] IFRS Foundation. IFRS 9 «Финансовые инструменты».</w:t>
      </w:r>
      <w:r>
        <w:br/>
        <w:t>https://www.ifrs.org/issued-standards/list-of-standards/ifrs-9-financial-instruments/</w:t>
      </w:r>
    </w:p>
    <w:p w:rsidR="003B05A2" w:rsidRDefault="00654FA5">
      <w:pPr>
        <w:ind w:firstLine="709"/>
        <w:jc w:val="both"/>
      </w:pPr>
      <w:r>
        <w:t>[17] IFRS Foundation. IAS 16 «Основные средства».</w:t>
      </w:r>
      <w:r>
        <w:br/>
        <w:t>https://www.ifrs.org/issued-standa</w:t>
      </w:r>
      <w:r>
        <w:t>rds/list-of-standards/ias-16-property-plant-and-equipment/</w:t>
      </w:r>
    </w:p>
    <w:p w:rsidR="003B05A2" w:rsidRDefault="00654FA5">
      <w:pPr>
        <w:ind w:firstLine="709"/>
        <w:jc w:val="both"/>
      </w:pPr>
      <w:r>
        <w:lastRenderedPageBreak/>
        <w:t>[18] IFRS Foundation. IAS 38 «Нематериальные активы».</w:t>
      </w:r>
      <w:r>
        <w:br/>
        <w:t>https://www.ifrs.org/issued-standards/list-of-standards/ias-38-intangible-assets/</w:t>
      </w:r>
    </w:p>
    <w:p w:rsidR="003B05A2" w:rsidRDefault="00654FA5">
      <w:pPr>
        <w:ind w:firstLine="709"/>
        <w:jc w:val="both"/>
      </w:pPr>
      <w:r>
        <w:t>[19] IFRS Foundation. IFRS 16 «Аренда».</w:t>
      </w:r>
      <w:r>
        <w:br/>
        <w:t>https://www.ifrs.org/</w:t>
      </w:r>
      <w:r>
        <w:t>issued-standards/list-of-standards/ifrs-16-leases/</w:t>
      </w:r>
    </w:p>
    <w:p w:rsidR="003B05A2" w:rsidRDefault="00654FA5">
      <w:pPr>
        <w:ind w:firstLine="709"/>
        <w:jc w:val="both"/>
      </w:pPr>
      <w:r>
        <w:t>[20] IFRS Foundation. IAS 37 «Резервы, условные обязательства и условные активы».</w:t>
      </w:r>
      <w:r>
        <w:br/>
        <w:t>https://www.ifrs.org/issued-standards/list-of-standards/ias-37-provisions-contingent-liabilities-and-contingent-assets/</w:t>
      </w:r>
    </w:p>
    <w:p w:rsidR="003B05A2" w:rsidRDefault="00654FA5">
      <w:pPr>
        <w:ind w:firstLine="709"/>
        <w:jc w:val="both"/>
      </w:pPr>
      <w:r>
        <w:t>[21</w:t>
      </w:r>
      <w:r>
        <w:t>] IFRS Foundation. IFRS 18 «Представление и раскрытие информации в финансовой отчётности»: периоды с 1 января 2027 года.</w:t>
      </w:r>
      <w:r>
        <w:br/>
        <w:t>https://www.ifrs.org/issued-standards/list-of-standards/ifrs-18-presentation-and-disclosure-in-financial-statements/</w:t>
      </w:r>
    </w:p>
    <w:p w:rsidR="003B05A2" w:rsidRDefault="00654FA5">
      <w:pPr>
        <w:ind w:firstLine="709"/>
        <w:jc w:val="both"/>
      </w:pPr>
      <w:r>
        <w:t>[22] IAASB. Докуме</w:t>
      </w:r>
      <w:r>
        <w:t>нтирование при использовании автоматизированных инструментов.</w:t>
      </w:r>
      <w:r>
        <w:br/>
        <w:t>https://www.iaasb.org/publications/non-authoritative-support-material-audit-documentation-when-using-automated-tools-and-techniques</w:t>
      </w:r>
    </w:p>
    <w:p w:rsidR="003B05A2" w:rsidRDefault="00654FA5">
      <w:pPr>
        <w:pStyle w:val="1"/>
        <w:ind w:firstLine="709"/>
        <w:jc w:val="both"/>
      </w:pPr>
      <w:r>
        <w:t>Соответствие источников лекциям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890"/>
      </w:tblGrid>
      <w:tr w:rsidR="003B05A2">
        <w:trPr>
          <w:cantSplit/>
          <w:tblHeader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F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b/>
                <w:sz w:val="21"/>
              </w:rPr>
              <w:t>Лекция</w:t>
            </w:r>
          </w:p>
        </w:tc>
        <w:tc>
          <w:tcPr>
            <w:tcW w:w="58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F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b/>
                <w:sz w:val="21"/>
              </w:rPr>
              <w:t>Основные источники</w:t>
            </w:r>
          </w:p>
        </w:tc>
      </w:tr>
      <w:tr w:rsidR="003B05A2">
        <w:trPr>
          <w:cantSplit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 xml:space="preserve">1 </w:t>
            </w:r>
            <w:r>
              <w:rPr>
                <w:sz w:val="21"/>
              </w:rPr>
              <w:t>Сущность цель и виды аудита</w:t>
            </w:r>
          </w:p>
        </w:tc>
        <w:tc>
          <w:tcPr>
            <w:tcW w:w="58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[1], [3], [5]</w:t>
            </w:r>
          </w:p>
        </w:tc>
      </w:tr>
      <w:tr w:rsidR="003B05A2">
        <w:trPr>
          <w:cantSplit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2 Стандарты аудита и профессиональная этика аудиторов</w:t>
            </w:r>
          </w:p>
        </w:tc>
        <w:tc>
          <w:tcPr>
            <w:tcW w:w="58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[1], [3], [4], [11], [12]</w:t>
            </w:r>
          </w:p>
        </w:tc>
      </w:tr>
      <w:tr w:rsidR="003B05A2">
        <w:trPr>
          <w:cantSplit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3 Нормативно правовые и информационные основы аудита</w:t>
            </w:r>
          </w:p>
        </w:tc>
        <w:tc>
          <w:tcPr>
            <w:tcW w:w="58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[1], [2], [3], [4], [6], [7], [8], [21]</w:t>
            </w:r>
          </w:p>
        </w:tc>
      </w:tr>
      <w:tr w:rsidR="003B05A2">
        <w:trPr>
          <w:cantSplit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4 Контроль качества работы аудиторов</w:t>
            </w:r>
          </w:p>
        </w:tc>
        <w:tc>
          <w:tcPr>
            <w:tcW w:w="58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[1], [3], [9]</w:t>
            </w:r>
          </w:p>
        </w:tc>
      </w:tr>
      <w:tr w:rsidR="003B05A2">
        <w:trPr>
          <w:cantSplit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5 Система внутреннего контроля клиента</w:t>
            </w:r>
          </w:p>
        </w:tc>
        <w:tc>
          <w:tcPr>
            <w:tcW w:w="58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[3], [10]</w:t>
            </w:r>
          </w:p>
        </w:tc>
      </w:tr>
      <w:tr w:rsidR="003B05A2">
        <w:trPr>
          <w:cantSplit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6 Выборка в аудите</w:t>
            </w:r>
          </w:p>
        </w:tc>
        <w:tc>
          <w:tcPr>
            <w:tcW w:w="58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[3]</w:t>
            </w:r>
          </w:p>
        </w:tc>
      </w:tr>
      <w:tr w:rsidR="003B05A2">
        <w:trPr>
          <w:cantSplit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7 Планирование аудиторской проверки</w:t>
            </w:r>
          </w:p>
        </w:tc>
        <w:tc>
          <w:tcPr>
            <w:tcW w:w="58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[1], [3], [9], [10]</w:t>
            </w:r>
          </w:p>
        </w:tc>
      </w:tr>
      <w:tr w:rsidR="003B05A2">
        <w:trPr>
          <w:cantSplit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8 Существенность в аудите</w:t>
            </w:r>
          </w:p>
        </w:tc>
        <w:tc>
          <w:tcPr>
            <w:tcW w:w="58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[3]</w:t>
            </w:r>
          </w:p>
        </w:tc>
      </w:tr>
      <w:tr w:rsidR="003B05A2">
        <w:trPr>
          <w:cantSplit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9 Аудиторский риск</w:t>
            </w:r>
          </w:p>
        </w:tc>
        <w:tc>
          <w:tcPr>
            <w:tcW w:w="58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[3], [10], [11]</w:t>
            </w:r>
          </w:p>
        </w:tc>
      </w:tr>
      <w:tr w:rsidR="003B05A2">
        <w:trPr>
          <w:cantSplit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10 Аудиторские доказательства</w:t>
            </w:r>
          </w:p>
        </w:tc>
        <w:tc>
          <w:tcPr>
            <w:tcW w:w="58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[3], [13]</w:t>
            </w:r>
          </w:p>
        </w:tc>
      </w:tr>
      <w:tr w:rsidR="003B05A2">
        <w:trPr>
          <w:cantSplit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11</w:t>
            </w:r>
            <w:r>
              <w:rPr>
                <w:sz w:val="21"/>
              </w:rPr>
              <w:t xml:space="preserve"> Методы аудита</w:t>
            </w:r>
          </w:p>
        </w:tc>
        <w:tc>
          <w:tcPr>
            <w:tcW w:w="58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[3]</w:t>
            </w:r>
          </w:p>
        </w:tc>
      </w:tr>
      <w:tr w:rsidR="003B05A2">
        <w:trPr>
          <w:cantSplit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12 Проверка по существу</w:t>
            </w:r>
          </w:p>
        </w:tc>
        <w:tc>
          <w:tcPr>
            <w:tcW w:w="58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[2], [3], [6], [7], [8], [14], [15], [16], [17], [18], [19], [20]</w:t>
            </w:r>
          </w:p>
        </w:tc>
      </w:tr>
      <w:tr w:rsidR="003B05A2">
        <w:trPr>
          <w:cantSplit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13 Заключительный этап аудита</w:t>
            </w:r>
          </w:p>
        </w:tc>
        <w:tc>
          <w:tcPr>
            <w:tcW w:w="58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[3], [12]</w:t>
            </w:r>
          </w:p>
        </w:tc>
      </w:tr>
      <w:tr w:rsidR="003B05A2">
        <w:trPr>
          <w:cantSplit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14 Аудиторское заключение</w:t>
            </w:r>
          </w:p>
        </w:tc>
        <w:tc>
          <w:tcPr>
            <w:tcW w:w="58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[1], [3], [11], [12]</w:t>
            </w:r>
          </w:p>
        </w:tc>
      </w:tr>
      <w:tr w:rsidR="003B05A2">
        <w:trPr>
          <w:cantSplit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15 Автоматизация аудиторской деятельности</w:t>
            </w:r>
          </w:p>
        </w:tc>
        <w:tc>
          <w:tcPr>
            <w:tcW w:w="58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[3], [4], [5],</w:t>
            </w:r>
            <w:r>
              <w:rPr>
                <w:sz w:val="21"/>
              </w:rPr>
              <w:t xml:space="preserve"> [22]</w:t>
            </w:r>
          </w:p>
        </w:tc>
      </w:tr>
    </w:tbl>
    <w:p w:rsidR="003B05A2" w:rsidRDefault="003B05A2">
      <w:pPr>
        <w:ind w:firstLine="709"/>
        <w:jc w:val="both"/>
      </w:pPr>
    </w:p>
    <w:p w:rsidR="003B05A2" w:rsidRDefault="00654FA5">
      <w:pPr>
        <w:pStyle w:val="1"/>
        <w:ind w:firstLine="709"/>
        <w:jc w:val="both"/>
      </w:pPr>
      <w:r>
        <w:t>Даты применения новых требований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890"/>
      </w:tblGrid>
      <w:tr w:rsidR="003B05A2">
        <w:trPr>
          <w:cantSplit/>
          <w:tblHeader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F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b/>
                <w:sz w:val="21"/>
              </w:rPr>
              <w:t>Изменение</w:t>
            </w:r>
          </w:p>
        </w:tc>
        <w:tc>
          <w:tcPr>
            <w:tcW w:w="58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F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b/>
                <w:sz w:val="21"/>
              </w:rPr>
              <w:t>Статус на 06.10.2026</w:t>
            </w:r>
          </w:p>
        </w:tc>
      </w:tr>
      <w:tr w:rsidR="003B05A2">
        <w:trPr>
          <w:cantSplit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Типовой план счетов по приказу № 533</w:t>
            </w:r>
          </w:p>
        </w:tc>
        <w:tc>
          <w:tcPr>
            <w:tcW w:w="58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Вводится с 01.01.2027</w:t>
            </w:r>
          </w:p>
        </w:tc>
      </w:tr>
      <w:tr w:rsidR="003B05A2">
        <w:trPr>
          <w:cantSplit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МСА 240 и МСА 570 в новых редакциях</w:t>
            </w:r>
          </w:p>
        </w:tc>
        <w:tc>
          <w:tcPr>
            <w:tcW w:w="58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Периоды, начинающиеся 15.12.2026 или позднее; досрочное применение оценивают отдельно</w:t>
            </w:r>
          </w:p>
        </w:tc>
      </w:tr>
      <w:tr w:rsidR="003B05A2">
        <w:trPr>
          <w:cantSplit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IFRS 18</w:t>
            </w:r>
          </w:p>
        </w:tc>
        <w:tc>
          <w:tcPr>
            <w:tcW w:w="58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Годовые периоды с 01.01.2027; досрочное применение допустимо</w:t>
            </w:r>
          </w:p>
        </w:tc>
      </w:tr>
      <w:tr w:rsidR="003B05A2">
        <w:trPr>
          <w:cantSplit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Проекты МСА 330, 500, 520 от 05.08.2026</w:t>
            </w:r>
          </w:p>
        </w:tc>
        <w:tc>
          <w:tcPr>
            <w:tcW w:w="58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Проекты для обсуждения, а не действующие обязательные требования</w:t>
            </w:r>
          </w:p>
        </w:tc>
      </w:tr>
      <w:tr w:rsidR="003B05A2">
        <w:trPr>
          <w:cantSplit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Глобальные стандарты внутреннего аудита IIA</w:t>
            </w:r>
          </w:p>
        </w:tc>
        <w:tc>
          <w:tcPr>
            <w:tcW w:w="58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B05A2" w:rsidRDefault="00654FA5">
            <w:pPr>
              <w:spacing w:before="60" w:after="60"/>
            </w:pPr>
            <w:r>
              <w:rPr>
                <w:sz w:val="21"/>
              </w:rPr>
              <w:t>Действуют с 09.01.2025</w:t>
            </w:r>
          </w:p>
        </w:tc>
      </w:tr>
    </w:tbl>
    <w:p w:rsidR="003B05A2" w:rsidRDefault="003B05A2">
      <w:pPr>
        <w:ind w:firstLine="709"/>
        <w:jc w:val="both"/>
      </w:pPr>
    </w:p>
    <w:sectPr w:rsidR="003B05A2" w:rsidSect="00034616">
      <w:headerReference w:type="default" r:id="rId8"/>
      <w:footerReference w:type="default" r:id="rId9"/>
      <w:pgSz w:w="12240" w:h="15840"/>
      <w:pgMar w:top="1020" w:right="1191" w:bottom="1020" w:left="119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FA5" w:rsidRDefault="00654FA5">
      <w:r>
        <w:separator/>
      </w:r>
    </w:p>
  </w:endnote>
  <w:endnote w:type="continuationSeparator" w:id="0">
    <w:p w:rsidR="00654FA5" w:rsidRDefault="00654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5A2" w:rsidRDefault="00654FA5">
    <w:pPr>
      <w:pStyle w:val="a7"/>
      <w:jc w:val="right"/>
    </w:pPr>
    <w:r>
      <w:rPr>
        <w:sz w:val="20"/>
      </w:rPr>
      <w:t xml:space="preserve">Страница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FA5" w:rsidRDefault="00654FA5">
      <w:r>
        <w:separator/>
      </w:r>
    </w:p>
  </w:footnote>
  <w:footnote w:type="continuationSeparator" w:id="0">
    <w:p w:rsidR="00654FA5" w:rsidRDefault="00654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5A2" w:rsidRDefault="00654FA5">
    <w:pPr>
      <w:pStyle w:val="a5"/>
    </w:pPr>
    <w:r>
      <w:t>АУДИТ  •  Лекционные материалы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05A2"/>
    <w:rsid w:val="00654FA5"/>
    <w:rsid w:val="00AA1D8D"/>
    <w:rsid w:val="00B47730"/>
    <w:rsid w:val="00CB0664"/>
    <w:rsid w:val="00EE558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E7452274-2FF4-4223-8BC4-009139680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20"/>
      <w:outlineLvl w:val="0"/>
    </w:pPr>
    <w:rPr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20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contextualSpacing/>
    </w:pPr>
    <w:rPr>
      <w:b/>
      <w:spacing w:val="5"/>
      <w:kern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spacing w:after="100" w:line="269" w:lineRule="auto"/>
    </w:pPr>
    <w:rPr>
      <w:i/>
      <w:iCs/>
      <w:spacing w:val="15"/>
      <w:sz w:val="22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7D94E5-C0CA-41DE-AEB4-9D28FC248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761</Words>
  <Characters>4344</Characters>
  <Application>Microsoft Office Word</Application>
  <DocSecurity>0</DocSecurity>
  <Lines>36</Lines>
  <Paragraphs>10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Соответствие источников лекциям</vt:lpstr>
      <vt:lpstr>Даты применения новых требований</vt:lpstr>
      <vt:lpstr/>
    </vt:vector>
  </TitlesOfParts>
  <Manager/>
  <Company/>
  <LinksUpToDate>false</LinksUpToDate>
  <CharactersWithSpaces>5095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Учебный курс. Актуализация 06.10.2026</dc:subject>
  <dc:creator>Перевод и тематическая подготовка по материалам Г. А. Байтикеновой</dc:creator>
  <cp:keywords/>
  <dc:description/>
  <cp:lastModifiedBy>Гульжан Байтикенова</cp:lastModifiedBy>
  <cp:revision>2</cp:revision>
  <dcterms:created xsi:type="dcterms:W3CDTF">2026-10-08T08:40:00Z</dcterms:created>
  <dcterms:modified xsi:type="dcterms:W3CDTF">2026-10-08T08:40:00Z</dcterms:modified>
  <cp:category/>
</cp:coreProperties>
</file>