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14 «Аудиторское заключение»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Назначение официального результата аудита</w:t>
      </w:r>
    </w:p>
    <w:p>
      <w:pPr>
        <w:pStyle w:val="ListBullet"/>
        <w:spacing w:line="240" w:lineRule="auto" w:after="0"/>
        <w:ind w:left="709" w:firstLine="0"/>
        <w:jc w:val="left"/>
      </w:pPr>
      <w:r>
        <w:t>Структура отчёта</w:t>
      </w:r>
    </w:p>
    <w:p>
      <w:pPr>
        <w:pStyle w:val="ListBullet"/>
        <w:spacing w:line="240" w:lineRule="auto" w:after="0"/>
        <w:ind w:left="709" w:firstLine="0"/>
        <w:jc w:val="left"/>
      </w:pPr>
      <w:r>
        <w:t>Виды мнения</w:t>
      </w:r>
    </w:p>
    <w:p>
      <w:pPr>
        <w:pStyle w:val="ListBullet"/>
        <w:spacing w:line="240" w:lineRule="auto" w:after="0"/>
        <w:ind w:left="709" w:firstLine="0"/>
        <w:jc w:val="left"/>
      </w:pPr>
      <w:r>
        <w:t>Основание модификации и ясность формулировки</w:t>
      </w:r>
    </w:p>
    <w:p>
      <w:pPr>
        <w:pStyle w:val="ListBullet"/>
        <w:spacing w:line="240" w:lineRule="auto" w:after="0"/>
        <w:ind w:left="709" w:firstLine="0"/>
        <w:jc w:val="left"/>
      </w:pPr>
      <w:r>
        <w:t>Ключевые вопросы и привлечение внимания</w:t>
      </w:r>
    </w:p>
    <w:p>
      <w:pPr>
        <w:pStyle w:val="ListBullet"/>
        <w:spacing w:line="240" w:lineRule="auto" w:after="0"/>
        <w:ind w:left="709" w:firstLine="0"/>
        <w:jc w:val="left"/>
      </w:pPr>
      <w:r>
        <w:t>Непрерывность деятельности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Дата, реквизиты и электронная форма</w:t>
      </w:r>
    </w:p>
    <w:p>
      <w:pPr>
        <w:pStyle w:val="ListBullet"/>
        <w:spacing w:line="240" w:lineRule="auto" w:after="0"/>
        <w:ind w:left="709" w:firstLine="0"/>
        <w:jc w:val="left"/>
      </w:pPr>
      <w:r>
        <w:t>Недостоверный и заведомо недостоверный результат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Назначение официального результата аудита</w:t>
      </w:r>
    </w:p>
    <w:p>
      <w:pPr>
        <w:spacing w:line="240" w:lineRule="auto" w:after="0"/>
        <w:ind w:firstLine="709" w:left="0"/>
        <w:jc w:val="both"/>
      </w:pPr>
      <w:r>
        <w:t>Аудиторский отчёт сообщает пользователям мнение о финансовой отчётности и объясняет основу этого мнения. В законодательстве Казахстана для аудита финансовой отчётности используется термин «аудиторский отчёт»; название темы «Аудиторское заключение» обозначает изучение итогового профессионального мнения. Специальные заключения по налогам и иной информации имеют собственное регулирование.</w:t>
      </w:r>
    </w:p>
    <w:p>
      <w:pPr>
        <w:spacing w:line="240" w:lineRule="auto" w:after="0"/>
        <w:ind w:firstLine="709" w:left="0"/>
        <w:jc w:val="both"/>
      </w:pPr>
      <w:r>
        <w:t>Аудитор формирует мнение после оценки доказательств, искажений, учётной политики, оценок, структуры и раскрытий. Немодифицированное мнение означает соответствие отчётности во всех существенных отношениях применимой концепции, а не абсолютную точность каждой операции или гарантию будущего результата.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Структура отчёта</w:t>
      </w:r>
    </w:p>
    <w:p>
      <w:pPr>
        <w:spacing w:line="240" w:lineRule="auto" w:after="0"/>
        <w:ind w:firstLine="709" w:left="0"/>
        <w:jc w:val="both"/>
      </w:pPr>
      <w:r>
        <w:t>МСА 700 устанавливает основные требования к формированию мнения и отчёту. Конкретная структура дополняется применимыми требованиями других МСА и законодательства.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0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Раздел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Заголовок и адресат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Идентифицируют независимый отчёт и его получателей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Мнение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Указывают отчётность, период и профессиональный вывод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Основание для мнения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Объясняют стандарты, независимость и достаточность доказательств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Непрерывность деятельности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Раскрывают соответствующие обстоятельства, когда требуется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Ключевые вопросы аудита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Сообщают наиболее значимые вопросы, когда применяется МСА 701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Прочая информация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Описывают обязанности и результат работы по МСА 720 при применимости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Ответственность руководства и надзорных лиц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Разграничивают обязанности по отчётности и надзору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Ответственность аудитора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Объясняют цель, разумную уверенность и характер аудита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Иные правовые требования и реквизиты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Включают необходимые дополнительные сведения, подпись, адрес и дату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Отчёт не оформляют как универсальную последовательность «вводная часть — аналитическая часть — итоговая часть» без учёта действующих МСА. Подробные недостатки бухгалтерского учёта могут сообщаться отдельно руководству; они не должны подменять структуру официального мнения.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Виды мнения</w:t>
      </w:r>
    </w:p>
    <w:p>
      <w:pPr>
        <w:spacing w:line="240" w:lineRule="auto" w:after="0"/>
        <w:ind w:firstLine="709" w:left="0"/>
        <w:jc w:val="both"/>
      </w:pPr>
      <w:r>
        <w:t>При достаточных надлежащих доказательствах и отсутствии существенного искажения выражают немодифицированное мнение. Модификация по МСА 705 зависит от того, обнаружено ли существенное искажение или невозможно получить достаточные доказательства, и насколько всеобъемлющи последствия.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Обстоятельство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Существенное, но не всеобъемлющее влияние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Существенное и всеобъемлющее влияние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Доказано искажение отчётности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Мнение с оговоркой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Отрицательное мнение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 получены достаточные доказательства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Мнение с оговоркой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Отказ от выражения мнения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Всеобъемлющее влияние не ограничивается определёнными элементами либо, даже будучи ограниченным, затрагивает существенную долю отчётности; в отношении раскрытий оно может быть фундаментальным для понимания отчётности. Это качественная оценка последствий, а не фиксированный процент активов.</w:t>
      </w:r>
    </w:p>
    <w:p>
      <w:pPr>
        <w:spacing w:line="240" w:lineRule="auto" w:after="0"/>
        <w:ind w:firstLine="709" w:left="0"/>
        <w:jc w:val="both"/>
      </w:pPr>
      <w:r>
        <w:t>Пример 1: существенный резерв по одному участку занижен, но влияние ограничено. Возможна оговорка. Пример 2: значительная часть доходов признана по принципу, не соответствующему концепции, с широким влиянием на прибыль и активы. Возможен отрицательный вывод. Пример 3: утрачены ключевые записи по нескольким существенным областям и альтернативные доказательства недоступны. Возможен отказ.</w:t>
      </w:r>
    </w:p>
    <w:p>
      <w:pPr>
        <w:spacing w:line="240" w:lineRule="auto" w:after="0"/>
        <w:ind w:firstLine="709" w:left="0"/>
        <w:jc w:val="both"/>
      </w:pPr>
      <w:r>
        <w:t>Аудитор не выбирает вид мнения исходя из желания клиента или срока кредита. Он документирует основания и обсуждает значимые вопросы на надлежащем уровне управления.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Основание модификации и ясность формулировки</w:t>
      </w:r>
    </w:p>
    <w:p>
      <w:pPr>
        <w:spacing w:line="240" w:lineRule="auto" w:after="0"/>
        <w:ind w:firstLine="709" w:left="0"/>
        <w:jc w:val="both"/>
      </w:pPr>
      <w:r>
        <w:t>Раздел основания объясняет содержание обстоятельства и его влияние, включая количественные сведения, если это возможно и уместно. Формулировка должна помогать пользователю понять, что именно не соответствует критериям или какие доказательства отсутствуют.</w:t>
      </w:r>
    </w:p>
    <w:p>
      <w:pPr>
        <w:spacing w:line="240" w:lineRule="auto" w:after="0"/>
        <w:ind w:firstLine="709" w:left="0"/>
        <w:jc w:val="both"/>
      </w:pPr>
      <w:r>
        <w:t>Размытое выражение «имеются отдельные недостатки» непригодно, когда они существенно влияют на отчётность. Одновременно не следует включать недоказанные обвинения. Аудитор описывает установленный факт, критерий и финансовый эффект.</w:t>
      </w:r>
    </w:p>
    <w:p>
      <w:pPr>
        <w:spacing w:line="240" w:lineRule="auto" w:after="0"/>
        <w:ind w:firstLine="709" w:left="0"/>
        <w:jc w:val="both"/>
      </w:pPr>
      <w:r>
        <w:t>При отказе от выражения мнения меняются соответствующие формулировки ответственности и другие элементы отчёта. Нельзя механически оставить стандартный текст о достаточности доказательств, если именно их недостаток привёл к отказу.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Ключевые вопросы и привлечение внимания</w:t>
      </w:r>
    </w:p>
    <w:p>
      <w:pPr>
        <w:spacing w:line="240" w:lineRule="auto" w:after="0"/>
        <w:ind w:firstLine="709" w:left="0"/>
        <w:jc w:val="both"/>
      </w:pPr>
      <w:r>
        <w:t>Ключевые вопросы аудита определяются по МСА 701 из вопросов, сообщённых лицам, отвечающим за корпоративное управление, которые потребовали значительного внимания и были наиболее значимыми в аудите. Стандарт применяется, в частности, при аудите отчётности листинговых организаций, а также в иных предусмотренных или добровольно выбранных случаях.</w:t>
      </w:r>
    </w:p>
    <w:p>
      <w:pPr>
        <w:spacing w:line="240" w:lineRule="auto" w:after="0"/>
        <w:ind w:firstLine="709" w:left="0"/>
        <w:jc w:val="both"/>
      </w:pPr>
      <w:r>
        <w:t>Ключевой вопрос не является отдельным мнением по статье и не заменяет модификацию. Если резерв существенно искажён, описание сложной проверки резерва в ключевых вопросах не позволяет оставить немодифицированное мнение.</w:t>
      </w:r>
    </w:p>
    <w:p>
      <w:pPr>
        <w:spacing w:line="240" w:lineRule="auto" w:after="0"/>
        <w:ind w:firstLine="709" w:left="0"/>
        <w:jc w:val="both"/>
      </w:pPr>
      <w:r>
        <w:t>Раздел «Важные обстоятельства» по МСА 706 привлекает внимание к вопросу, надлежащим образом представленному или раскрытому в отчётности и фундаментальному для её понимания. Он не исправляет недостаточное раскрытие. Раздел о прочих обстоятельствах относится к информации вне отчётности, значимой для понимания аудита, ответственности или отчёта.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Непрерывность деятельности</w:t>
      </w:r>
    </w:p>
    <w:p>
      <w:pPr>
        <w:spacing w:line="240" w:lineRule="auto" w:after="0"/>
        <w:ind w:firstLine="709" w:left="0"/>
        <w:jc w:val="both"/>
      </w:pPr>
      <w:r>
        <w:t>Если основа непрерывности уместна, существует существенная неопределённость и раскрытие адекватно, используется предусмотренный МСА 570 отдельный раздел. Это отличается от оговорки. Если раскрытие недостаточно, рассматривают модификацию; при неуместной основе непрерывности — отрицательное мнение.</w:t>
      </w:r>
    </w:p>
    <w:p>
      <w:pPr>
        <w:spacing w:line="240" w:lineRule="auto" w:after="0"/>
        <w:ind w:firstLine="709" w:left="0"/>
        <w:jc w:val="both"/>
      </w:pPr>
      <w:r>
        <w:t>Пример: организация зависит от продления крупного кредита, решение банка не принято, а руководство корректно раскрывает существенную неопределённость. Пользователю важно увидеть эту информацию, но её адекватное раскрытие само по себе не делает отчётность искажённой.</w:t>
      </w:r>
    </w:p>
    <w:p>
      <w:pPr>
        <w:spacing w:line="240" w:lineRule="auto" w:after="0"/>
        <w:ind w:firstLine="709" w:left="0"/>
        <w:jc w:val="both"/>
      </w:pPr>
      <w:r>
        <w:t>Для периодов, начинающихся 15 декабря 2026 года или позднее, обязательные требования пересмотренного МСА 570 меняют соответствующие процедуры и отчётные положения. На дату актуализации курса выбирают редакцию по периоду задания и допустимости досрочного применения.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Дата, реквизиты и электронная форма</w:t>
      </w:r>
    </w:p>
    <w:p>
      <w:pPr>
        <w:spacing w:line="240" w:lineRule="auto" w:after="0"/>
        <w:ind w:firstLine="709" w:left="0"/>
        <w:jc w:val="both"/>
      </w:pPr>
      <w:r>
        <w:t>Дата аудиторского отчёта не может предшествовать получению достаточных надлежащих доказательств и выполнению требований, связанных с подготовкой отчётности и признанием ответственности за неё. В Казахстане требования к подписанию и форме результата проверяют по действующему законодательству, включая допустимую электронную форму.</w:t>
      </w:r>
    </w:p>
    <w:p>
      <w:pPr>
        <w:spacing w:line="240" w:lineRule="auto" w:after="0"/>
        <w:ind w:firstLine="709" w:left="0"/>
        <w:jc w:val="both"/>
      </w:pPr>
      <w:r>
        <w:t>Подписание отчёта не снимает обязанности рассмотреть впоследствии известный существенный факт в порядке МСА 560. Но это не означает непрерывную проверку всех событий после даты отчёта.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Недостоверный и заведомо недостоверный результат</w:t>
      </w:r>
    </w:p>
    <w:p>
      <w:pPr>
        <w:spacing w:line="240" w:lineRule="auto" w:after="0"/>
        <w:ind w:firstLine="709" w:left="0"/>
        <w:jc w:val="both"/>
      </w:pPr>
      <w:r>
        <w:t>Недостоверный аудиторский отчёт и заведомо недостоверный отчёт различаются по правовым признакам. Заведомость предполагает соответствующие обстоятельства, включая сознательное введение пользователей в заблуждение или отсутствие реального аудита, а не просто наличие обнаруженной позже ошибки.</w:t>
      </w:r>
    </w:p>
    <w:p>
      <w:pPr>
        <w:spacing w:line="240" w:lineRule="auto" w:after="0"/>
        <w:ind w:firstLine="709" w:left="0"/>
        <w:jc w:val="both"/>
      </w:pPr>
      <w:r>
        <w:t>Юридическая оценка производится по закону и установленным фактам. Разумная уверенность допускает остаточный риск, но не оправдывает фиктивную работу, игнорирование известных существенных ошибок или выдачу заранее обещанного мнения. Качественная документация, независимость и надлежащие доказательства поддерживают профессиональную обоснованность результата.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обстоятельства ведут к мнению с оговоркой, отрицательному мнению и отказу?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различаются существенное и всеобъемлющее влияние на отчётность?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основные разделы включает аудиторское заключение?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обнаруженная после проверки ошибка сама по себе не доказывает заведомую ложность заключения?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[1], [3], [11], [12].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14. Аудиторское заключение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