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13 «Заключительный этап аудита»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Цель заключительного этапа</w:t>
      </w:r>
    </w:p>
    <w:p>
      <w:pPr>
        <w:pStyle w:val="ListBullet"/>
        <w:spacing w:line="240" w:lineRule="auto" w:after="0"/>
        <w:ind w:left="709" w:firstLine="0"/>
        <w:jc w:val="left"/>
      </w:pPr>
      <w:r>
        <w:t>Обобщение искажений</w:t>
      </w:r>
    </w:p>
    <w:p>
      <w:pPr>
        <w:pStyle w:val="ListBullet"/>
        <w:spacing w:line="240" w:lineRule="auto" w:after="0"/>
        <w:ind w:left="709" w:firstLine="0"/>
        <w:jc w:val="left"/>
      </w:pPr>
      <w:r>
        <w:t>События после отчётной даты</w:t>
      </w:r>
    </w:p>
    <w:p>
      <w:pPr>
        <w:pStyle w:val="ListBullet"/>
        <w:spacing w:line="240" w:lineRule="auto" w:after="0"/>
        <w:ind w:left="709" w:firstLine="0"/>
        <w:jc w:val="left"/>
      </w:pPr>
      <w:r>
        <w:t>Непрерывность деятельности</w:t>
      </w:r>
    </w:p>
    <w:p>
      <w:pPr>
        <w:pStyle w:val="ListBullet"/>
        <w:spacing w:line="240" w:lineRule="auto" w:after="0"/>
        <w:ind w:left="709" w:firstLine="0"/>
        <w:jc w:val="left"/>
      </w:pPr>
      <w:r>
        <w:t>Завершающие аналитические процедуры и раскрытия</w:t>
      </w:r>
    </w:p>
    <w:p>
      <w:pPr>
        <w:pStyle w:val="ListBullet"/>
        <w:spacing w:line="240" w:lineRule="auto" w:after="0"/>
        <w:ind w:left="709" w:firstLine="0"/>
        <w:jc w:val="left"/>
      </w:pPr>
      <w:r>
        <w:t>Письменные заявления и прочая информация</w:t>
      </w:r>
    </w:p>
    <w:p>
      <w:pPr>
        <w:pStyle w:val="ListBullet"/>
        <w:spacing w:line="240" w:lineRule="auto" w:after="0"/>
        <w:ind w:left="709" w:firstLine="0"/>
        <w:jc w:val="left"/>
      </w:pPr>
      <w:r>
        <w:t>Сообщение руководству и корпоративному управлению</w:t>
      </w:r>
    </w:p>
    <w:p>
      <w:pPr>
        <w:pStyle w:val="ListBullet"/>
        <w:spacing w:line="240" w:lineRule="auto" w:after="0"/>
        <w:ind w:left="709" w:firstLine="0"/>
        <w:jc w:val="left"/>
      </w:pPr>
      <w:r>
        <w:t>Разрешение вопросов и дата отчёта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Цель заключительного этапа</w:t>
      </w:r>
    </w:p>
    <w:p>
      <w:pPr>
        <w:spacing w:line="240" w:lineRule="auto" w:after="0"/>
        <w:ind w:firstLine="709" w:left="0"/>
        <w:jc w:val="both"/>
      </w:pPr>
      <w:r>
        <w:t>Заключительный этап объединяет результаты отдельных процедур в вывод об отчётности в целом. Аудитор оценивает достаточность доказательств, неисправленные искажения, представление и раскрытия, непрерывность деятельности и события после отчётной даты. Завершение не сводится к подшивке документов и подписанию отчёта.</w:t>
      </w:r>
    </w:p>
    <w:p>
      <w:pPr>
        <w:spacing w:line="240" w:lineRule="auto" w:after="0"/>
        <w:ind w:firstLine="709" w:left="0"/>
        <w:jc w:val="both"/>
      </w:pPr>
      <w:r>
        <w:t>Команда проверяет, закрыты ли ключевые риски и значимые вопросы. Для каждого риска должно быть понятно, какие процедуры выполнены, какие исключения выявлены и на чём основан вывод. Неразрешённые противоречия нельзя скрыть общей фразой «в целом удовлетворительно».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Обобщение искажений</w:t>
      </w:r>
    </w:p>
    <w:p>
      <w:pPr>
        <w:spacing w:line="240" w:lineRule="auto" w:after="0"/>
        <w:ind w:firstLine="709" w:left="0"/>
        <w:jc w:val="both"/>
      </w:pPr>
      <w:r>
        <w:t>По МСА 450 накапливают выявленные искажения, кроме явно незначительных, сообщают их руководству и предлагают исправить. До итоговой оценки проверяют актуальность существенности и влияние фактических результатов деятельности.</w:t>
      </w:r>
    </w:p>
    <w:p>
      <w:pPr>
        <w:spacing w:line="240" w:lineRule="auto" w:after="0"/>
        <w:ind w:firstLine="709" w:left="0"/>
        <w:jc w:val="both"/>
      </w:pPr>
      <w:r>
        <w:t>Искажения оценивают отдельно и в совокупности, по размеру и характеру. Необходимо учитывать проецируемые ошибки, оценочные разницы, раскрытия и влияние неисправленных ошибок прошлых периодов. Отказ руководства исправить ошибки требует понимания причин, но не является автоматически доказательством умысла.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890"/>
      </w:tblGrid>
      <w:tr>
        <w:trPr>
          <w:cantSplit/>
          <w:tblHeader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Поле ведомости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Факт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Что отражено неправильно или не раскрыто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Статья и утверждение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Запасы — оценка; обязательства — полнота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Эффект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Сумма и направление влияния на активы, долги, прибыль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Исправление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Предлагаемая корректировка и основание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Позиция руководства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Исправлено, отклонено, оспаривается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Итог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Оценка существенности и влияние на мнение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Учебный пример: запасы завышены на 2 млн тенге, расходы занижены на 1,5 млн, а обязательство 3 млн не отражено. При оценке учитывают общую величину, содержание статей и возможное влияние на ковенант. Ошибка в раскрытии связанной стороны может быть значима и без самостоятельного крупного остатка.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События после отчётной даты</w:t>
      </w:r>
    </w:p>
    <w:p>
      <w:pPr>
        <w:spacing w:line="240" w:lineRule="auto" w:after="0"/>
        <w:ind w:firstLine="709" w:left="0"/>
        <w:jc w:val="both"/>
      </w:pPr>
      <w:r>
        <w:t>Аудитор выполняет процедуры по событиям между датой отчётности и датой аудиторского отчёта: запрашивает руководство, изучает доступную последующую финансовую информацию и протоколы, рассматривает выявленные события. Учётная оценка зависит от применимой концепции отчётности.</w:t>
      </w:r>
    </w:p>
    <w:p>
      <w:pPr>
        <w:spacing w:line="240" w:lineRule="auto" w:after="0"/>
        <w:ind w:firstLine="709" w:left="0"/>
        <w:jc w:val="both"/>
      </w:pPr>
      <w:r>
        <w:t>Корректирующие события предоставляют доказательства условий, существовавших на отчётную дату. Некорректирующие связаны с условиями, возникшими позже, но при существенности могут требовать раскрытия. Банкротство покупателя после конца года может подтвердить обесценение долга на отчётную дату; пожар, произошедший позже, обычно требует анализа как нового события.</w:t>
      </w:r>
    </w:p>
    <w:p>
      <w:pPr>
        <w:spacing w:line="240" w:lineRule="auto" w:after="0"/>
        <w:ind w:firstLine="709" w:left="0"/>
        <w:jc w:val="both"/>
      </w:pPr>
      <w:r>
        <w:t>После даты аудиторского отчёта нет обязанности непрерывно выполнять процедуры. Однако если становится известен факт, который мог бы изменить отчёт, МСА 560 предусматривает соответствующие действия: обсуждение, оценку необходимости изменения отчётности и действия при отказе руководства. Периоды до и после выпуска отчётности рассматриваются отдельно.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Непрерывность деятельности</w:t>
      </w:r>
    </w:p>
    <w:p>
      <w:pPr>
        <w:spacing w:line="240" w:lineRule="auto" w:after="0"/>
        <w:ind w:firstLine="709" w:left="0"/>
        <w:jc w:val="both"/>
      </w:pPr>
      <w:r>
        <w:t>Руководство оценивает способность продолжать деятельность; аудитор оценивает использование этой основы и наличие существенной неопределённости. Важны денежные потоки, сроки обязательств, финансирование, ковенанты, операционные риски и реалистичность планов.</w:t>
      </w:r>
    </w:p>
    <w:p>
      <w:pPr>
        <w:spacing w:line="240" w:lineRule="auto" w:after="0"/>
        <w:ind w:firstLine="709" w:left="0"/>
        <w:jc w:val="both"/>
      </w:pPr>
      <w:r>
        <w:t>Убыток не означает автоматического прекращения деятельности. Наличие прибыли также не гарантирует платёжеспособность, если денежные потоки недостаточны для ближайших платежей. Аудитор проверяет планы руководства через документы, согласованное финансирование, чувствительность прогнозов и фактические последующие результаты.</w:t>
      </w:r>
    </w:p>
    <w:p>
      <w:pPr>
        <w:spacing w:line="240" w:lineRule="auto" w:after="0"/>
        <w:ind w:firstLine="709" w:left="0"/>
        <w:jc w:val="both"/>
      </w:pPr>
      <w:r>
        <w:t>На 6 октября 2026 года МСА 570 (пересмотренный в 2024 году) опубликован с датой применения к периодам, начинающимся 15 декабря 2026 года или позднее. Для задания, к которому применяется предшествующая редакция, оценка охватывает требуемый ею период; если период руководства короче двенадцати месяцев с даты отчётности, требуется его продление. Новая редакция усиливает требования и предусматривает иной ориентир периода оценки, поэтому её нельзя применять автоматически только по году публикации.</w:t>
      </w:r>
    </w:p>
    <w:p>
      <w:pPr>
        <w:spacing w:line="240" w:lineRule="auto" w:after="0"/>
        <w:ind w:firstLine="709" w:left="0"/>
        <w:jc w:val="both"/>
      </w:pPr>
      <w:r>
        <w:t>Если основа непрерывности уместна, существенная неопределённость существует и адекватно раскрыта, предусмотрен отдельный раздел аудиторского отчёта; это само по себе не означает модифицированное мнение. Неадекватное раскрытие или неуместная основа требуют иной оценки влияния на мнение.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Завершающие аналитические процедуры и раскрытия</w:t>
      </w:r>
    </w:p>
    <w:p>
      <w:pPr>
        <w:spacing w:line="240" w:lineRule="auto" w:after="0"/>
        <w:ind w:firstLine="709" w:left="0"/>
        <w:jc w:val="both"/>
      </w:pPr>
      <w:r>
        <w:t>Аналитика завершения помогает установить, согласуется ли отчётность с пониманием организации. Аудитор сравнивает ключевые показатели, причины изменений, денежные потоки и результаты отдельных участков. Неожиданные связи могут указывать на новый риск, требующий дополнительных действий.</w:t>
      </w:r>
    </w:p>
    <w:p>
      <w:pPr>
        <w:spacing w:line="240" w:lineRule="auto" w:after="0"/>
        <w:ind w:firstLine="709" w:left="0"/>
        <w:jc w:val="both"/>
      </w:pPr>
      <w:r>
        <w:t>Отдельно оценивают применимость и последовательность учётной политики, разумность оценок, нейтральность информации, классификацию, структуру и полноту раскрытий. Нельзя считать примечания второстепенными: именно они объясняют ограничения денег, условия займов, связанные стороны и неопределённости.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Письменные заявления и прочая информация</w:t>
      </w:r>
    </w:p>
    <w:p>
      <w:pPr>
        <w:spacing w:line="240" w:lineRule="auto" w:after="0"/>
        <w:ind w:firstLine="709" w:left="0"/>
        <w:jc w:val="both"/>
      </w:pPr>
      <w:r>
        <w:t>Письменные заявления руководства датируют как можно ближе к дате аудиторского отчёта, но не позже неё, и они охватывают соответствующую отчётность и периоды. Аудитор оценивает полномочия подписантов и согласованность заявлений с доказательствами.</w:t>
      </w:r>
    </w:p>
    <w:p>
      <w:pPr>
        <w:spacing w:line="240" w:lineRule="auto" w:after="0"/>
        <w:ind w:firstLine="709" w:left="0"/>
        <w:jc w:val="both"/>
      </w:pPr>
      <w:r>
        <w:t>МСА 720 регулирует работу с прочей информацией в годовом отчёте. Аудитор читает её и рассматривает существенные несоответствия с финансовой отчётностью и знаниями, полученными в аудите. Это не является отдельным аудиторским мнением обо всей прочей информации и не тождественно специальному заданию по аудиту иной информации в Казахстане.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Сообщение руководству и корпоративному управлению</w:t>
      </w:r>
    </w:p>
    <w:p>
      <w:pPr>
        <w:spacing w:line="240" w:lineRule="auto" w:after="0"/>
        <w:ind w:firstLine="709" w:left="0"/>
        <w:jc w:val="both"/>
      </w:pPr>
      <w:r>
        <w:t>С надзорным органом обсуждают значимые вопросы аудита, существенные трудности, важные оценки и предусмотренные стандартами сведения. Значительные недостатки контроля сообщают согласно МСА 265. Аудиторское мнение и рекомендации руководству имеют разные назначения.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890"/>
      </w:tblGrid>
      <w:tr>
        <w:trPr>
          <w:cantSplit/>
          <w:tblHeader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Элемент замечания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Пример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Факт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Изменение реквизитов поставщика не проверяет независимый сотрудник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Критерий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Разделение полномочий и надёжное подтверждение изменения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Последствие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Возможность несанкционированного перевода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Рекомендация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Независимое подтверждение по проверенному каналу и журнал изменений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Ответственность за исполнение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Назначенное руководством лицо и срок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Рекомендация должна быть конкретной и соразмерной. Аудитор не принимает управленческие решения за клиента и не гарантирует устранение всех бизнес-рисков.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Разрешение вопросов и дата отчёта</w:t>
      </w:r>
    </w:p>
    <w:p>
      <w:pPr>
        <w:spacing w:line="240" w:lineRule="auto" w:after="0"/>
        <w:ind w:firstLine="709" w:left="0"/>
        <w:jc w:val="both"/>
      </w:pPr>
      <w:r>
        <w:t>До датирования отчёта должны быть получены необходимые доказательства, завершены требуемые проверки и подтверждена ответственность за подготовленную отчётность. Если ключевая оценка остаётся неразрешённой, срочность выпуска не заменяет доказательств.</w:t>
      </w:r>
    </w:p>
    <w:p>
      <w:pPr>
        <w:spacing w:line="240" w:lineRule="auto" w:after="0"/>
        <w:ind w:firstLine="709" w:left="0"/>
        <w:jc w:val="both"/>
      </w:pPr>
      <w:r>
        <w:t>Итоговый меморандум фиксирует значимые риски, процедуры, искажения, вопросы непрерывности, события после даты, консультации, коммуникацию и вывод о виде мнения. Административное завершение файла после отчёта отличается от получения доказательств, требовавшихся для выражения мнения.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Какие вопросы необходимо закрыть до завершения аудиторского файла?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оценивают неисправленные искажения и события после отчётной даты?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Почему письменные заявления руководства не заменяют другие доказательства?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сформулировать замечание руководству через факт, критерий, риск и рекомендацию?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[3], [12].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13. Заключительный этап аудита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