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12 «Проверка по существу»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Назначение проверки по существу</w:t>
      </w:r>
    </w:p>
    <w:p>
      <w:pPr>
        <w:pStyle w:val="ListBullet"/>
        <w:spacing w:line="240" w:lineRule="auto" w:after="0"/>
        <w:ind w:left="709" w:firstLine="0"/>
        <w:jc w:val="left"/>
      </w:pPr>
      <w:r>
        <w:t>Программа по хозяйственным циклам</w:t>
      </w:r>
    </w:p>
    <w:p>
      <w:pPr>
        <w:pStyle w:val="ListBullet"/>
        <w:spacing w:line="240" w:lineRule="auto" w:after="0"/>
        <w:ind w:left="709" w:firstLine="0"/>
        <w:jc w:val="left"/>
      </w:pPr>
      <w:r>
        <w:t>Закупки и кредиторская задолженность</w:t>
      </w:r>
    </w:p>
    <w:p>
      <w:pPr>
        <w:pStyle w:val="ListBullet"/>
        <w:spacing w:line="240" w:lineRule="auto" w:after="0"/>
        <w:ind w:left="709" w:firstLine="0"/>
        <w:jc w:val="left"/>
      </w:pPr>
      <w:r>
        <w:t>Запасы и инвентаризация</w:t>
      </w:r>
    </w:p>
    <w:p>
      <w:pPr>
        <w:pStyle w:val="ListBullet"/>
        <w:spacing w:line="240" w:lineRule="auto" w:after="0"/>
        <w:ind w:left="709" w:firstLine="0"/>
        <w:jc w:val="left"/>
      </w:pPr>
      <w:r>
        <w:t>Производство и себестоимость</w:t>
      </w:r>
    </w:p>
    <w:p>
      <w:pPr>
        <w:pStyle w:val="ListBullet"/>
        <w:spacing w:line="240" w:lineRule="auto" w:after="0"/>
        <w:ind w:left="709" w:firstLine="0"/>
        <w:jc w:val="left"/>
      </w:pPr>
      <w:r>
        <w:t>Выручка и продажи</w:t>
      </w:r>
    </w:p>
    <w:p>
      <w:pPr>
        <w:pStyle w:val="ListBullet"/>
        <w:spacing w:line="240" w:lineRule="auto" w:after="0"/>
        <w:ind w:left="709" w:firstLine="0"/>
        <w:jc w:val="left"/>
      </w:pPr>
      <w:r>
        <w:t>Дебиторская задолженность и кредитные убытки</w:t>
      </w:r>
    </w:p>
    <w:p>
      <w:pPr>
        <w:pStyle w:val="ListBullet"/>
        <w:spacing w:line="240" w:lineRule="auto" w:after="0"/>
        <w:ind w:left="709" w:firstLine="0"/>
        <w:jc w:val="left"/>
      </w:pPr>
      <w:r>
        <w:t>Денежные средства</w:t>
      </w:r>
    </w:p>
    <w:p>
      <w:pPr>
        <w:pStyle w:val="ListBullet"/>
        <w:spacing w:line="240" w:lineRule="auto" w:after="0"/>
        <w:ind w:left="709" w:firstLine="0"/>
        <w:jc w:val="left"/>
      </w:pPr>
      <w:r>
        <w:t>Основные средства, аренда и нематериальные активы</w:t>
      </w:r>
    </w:p>
    <w:p>
      <w:pPr>
        <w:pStyle w:val="ListBullet"/>
        <w:spacing w:line="240" w:lineRule="auto" w:after="0"/>
        <w:ind w:left="709" w:firstLine="0"/>
        <w:jc w:val="left"/>
      </w:pPr>
      <w:r>
        <w:t>Обязательства, резервы и налоги</w:t>
      </w:r>
    </w:p>
    <w:p>
      <w:pPr>
        <w:pStyle w:val="ListBullet"/>
        <w:spacing w:line="240" w:lineRule="auto" w:after="0"/>
        <w:ind w:left="709" w:firstLine="0"/>
        <w:jc w:val="left"/>
      </w:pPr>
      <w:r>
        <w:t>Капитал и раскрытия</w:t>
      </w:r>
    </w:p>
    <w:p>
      <w:pPr>
        <w:pStyle w:val="ListBullet"/>
        <w:spacing w:line="240" w:lineRule="auto" w:after="0"/>
        <w:ind w:left="709" w:firstLine="0"/>
        <w:jc w:val="left"/>
      </w:pPr>
      <w:r>
        <w:t>Завершение проверки по существу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Назначение проверки по существу</w:t>
      </w:r>
    </w:p>
    <w:p>
      <w:pPr>
        <w:spacing w:line="240" w:lineRule="auto" w:after="0"/>
        <w:ind w:firstLine="709" w:left="0"/>
        <w:jc w:val="both"/>
      </w:pPr>
      <w:r>
        <w:t>Процедуры по существу направлены на обнаружение существенных искажений на уровне утверждений. Они включают детальные тесты операций, остатков и раскрытий и аналитические процедуры по существу. Их характер, сроки и объём определяют по оценённым рискам, существенности и качеству доступной информации.</w:t>
      </w:r>
    </w:p>
    <w:p>
      <w:pPr>
        <w:spacing w:line="240" w:lineRule="auto" w:after="0"/>
        <w:ind w:firstLine="709" w:left="0"/>
        <w:jc w:val="both"/>
      </w:pPr>
      <w:r>
        <w:t>Тест контроля и процедура по существу могут обращаться к одному документу, но имеют разные цели. Проверка наличия надлежащего согласования закупки оценивает контроль. Проверка факта получения товара, цены и признания долга исследует отражённую операцию. Комбинированный тест допустим при ясной постановке обеих целей и раздельной оценке результатов.</w:t>
      </w:r>
    </w:p>
    <w:p>
      <w:pPr>
        <w:spacing w:line="240" w:lineRule="auto" w:after="0"/>
        <w:ind w:firstLine="709" w:left="0"/>
        <w:jc w:val="both"/>
      </w:pPr>
      <w:r>
        <w:t>Перед тестами сверяют отчётность с учётом, получают полные реестры и исследуют значимые корректировки закрытия периода. Проверяют не только счета, но и примечания: обязательство может быть правильно оценено, но неправильно классифицировано или недостаточно раскрыто.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Программа по хозяйственным циклам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Цикл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Основные риски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Приоритетные утверждения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Закупки и обязательства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Неотражённые поставки, фиктивные расходы, неправильный период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Полнота, возникновение, точность, период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Производство и запасы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Ошибки калькуляции, недостачи, устаревание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Существование, оценка, полнота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Продажи и расчёты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Преждевременная выручка, возвраты, неплатежи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Возникновение, период, оценка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Денежные средства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Несанкционированные операции, ограничения, неверные сверки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Существование, права, полнота, представление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Долгосрочные активы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Необоснованная капитализация, амортизация, обесценение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Права, оценка, классификация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Финансирование и капитал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Неотражённые долги, нарушения условий, неправильные изменения капитала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Полнота, оценка, представление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Ни один перечень не применяется механически. Аудитор добавляет риски отрасли, связанных сторон, необычных сделок и информационной системы клиента. Счета и корреспонденции выбирают по рабочему плану организации и действующим правилам периода; номер счёта не определяет экономическую сущность операции.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Закупки и кредиторская задолженность</w:t>
      </w:r>
    </w:p>
    <w:p>
      <w:pPr>
        <w:spacing w:line="240" w:lineRule="auto" w:after="0"/>
        <w:ind w:firstLine="709" w:left="0"/>
        <w:jc w:val="both"/>
      </w:pPr>
      <w:r>
        <w:t>Закупочный цикл включает заказ, приёмку, получение счёта, признание обязательства и оплату. Для отражённых расходов исследуют экономическое основание и фактическое исполнение. Для полноты долгов ищут события, которые могли остаться вне реестра кредиторов.</w:t>
      </w:r>
    </w:p>
    <w:p>
      <w:pPr>
        <w:spacing w:line="240" w:lineRule="auto" w:after="0"/>
        <w:ind w:firstLine="709" w:left="0"/>
        <w:jc w:val="both"/>
      </w:pPr>
      <w:r>
        <w:t>Проверяют договоры и условия поставки, документы приёмки, счета, расхождения количества и цены, возвраты, авансы и последующие платежи. Дата поступления документа не всегда совпадает с датой возникновения обязательства. Товар, принятый в декабре, может требовать отражения долга на конец года, даже если счёт получен в январе.</w:t>
      </w:r>
    </w:p>
    <w:p>
      <w:pPr>
        <w:spacing w:line="240" w:lineRule="auto" w:after="0"/>
        <w:ind w:firstLine="709" w:left="0"/>
        <w:jc w:val="both"/>
      </w:pPr>
      <w:r>
        <w:t>Поиск неотражённых обязательств включает анализ платежей после отчётной даты, неоплаченных документов, товаров, принятых без счёта, актов оказанных услуг и подтверждений поставщиков. Для каждого последующего платежа выясняют, к какому периоду относится поставка или услуга.</w:t>
      </w:r>
    </w:p>
    <w:p>
      <w:pPr>
        <w:spacing w:line="240" w:lineRule="auto" w:after="0"/>
        <w:ind w:firstLine="709" w:left="0"/>
        <w:jc w:val="both"/>
      </w:pPr>
      <w:r>
        <w:t>Учебный пример: товар стоимостью 3 млн тенге принят 29 декабря, а документ поставщика получен 10 января. При наличии основания признания необходимо проверить отражение запасов и обязательства на конец декабря. Налоговые документы и момент налогового вычета исследуют отдельно по применимому налоговому законодательству.</w:t>
      </w:r>
    </w:p>
    <w:p>
      <w:pPr>
        <w:spacing w:line="240" w:lineRule="auto" w:after="0"/>
        <w:ind w:firstLine="709" w:left="0"/>
        <w:jc w:val="both"/>
      </w:pPr>
      <w:r>
        <w:t>Предоплата не является расходом автоматически. Аудитор проверяет исполнение договора, право на возврат, последующее получение товаров и возможное обесценение аванса. Дублирующиеся счета исследуют через поставщика, номер, сумму, валюту и содержание поставки, поскольку одинаковая сумма сама по себе не доказывает повторную оплату.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Запасы и инвентаризация</w:t>
      </w:r>
    </w:p>
    <w:p>
      <w:pPr>
        <w:spacing w:line="240" w:lineRule="auto" w:after="0"/>
        <w:ind w:firstLine="709" w:left="0"/>
        <w:jc w:val="both"/>
      </w:pPr>
      <w:r>
        <w:t>Запасы исследуют по наличию, правам, полноте, оценке и раскрытиям. При применении IAS 2 их оценивают по меньшей из себестоимости и чистой возможной цены продажи. Последняя учитывает ожидаемую цену реализации за вычетом затрат на завершение и продажу; она не равна автоматически наблюдаемой рыночной цене.</w:t>
      </w:r>
    </w:p>
    <w:p>
      <w:pPr>
        <w:spacing w:line="240" w:lineRule="auto" w:after="0"/>
        <w:ind w:firstLine="709" w:left="0"/>
        <w:jc w:val="both"/>
      </w:pPr>
      <w:r>
        <w:t>Аудитор оценивает инструкции инвентаризации, порядок контроля движения, охват мест хранения и товаров третьих лиц. Выполняет контрольные подсчёты в обоих направлениях: из описи к фактическому наличию и из фактических позиций в опись. Отдельно фиксирует повреждённые, медленно оборачивающиеся и устаревшие товары.</w:t>
      </w:r>
    </w:p>
    <w:p>
      <w:pPr>
        <w:spacing w:line="240" w:lineRule="auto" w:after="0"/>
        <w:ind w:firstLine="709" w:left="0"/>
        <w:jc w:val="both"/>
      </w:pPr>
      <w:r>
        <w:t>Если пересчёт проводится не на отчётную дату, исследуют движение между датами. Для запасов у третьих лиц рассматривают подтверждения и другие процедуры с учётом риска. Отсутствие возможности наблюдать не устраняют одной подписью руководства: необходима оценка альтернативных доказательств и влияния ограничения.</w:t>
      </w:r>
    </w:p>
    <w:p>
      <w:pPr>
        <w:spacing w:line="240" w:lineRule="auto" w:after="0"/>
        <w:ind w:firstLine="709" w:left="0"/>
        <w:jc w:val="both"/>
      </w:pPr>
      <w:r>
        <w:t>Учебный пример оценки: себестоимость товара — 1,2 млн тенге, ожидаемая цена продажи — 1,15 млн, затраты на продажу — 50 тыс. Чистая возможная цена продажи равна 1,10 млн; снижение стоимости составляет 100 тыс. тенге. Аудитор проверяет цены, условия продажи и состав затрат, а не только арифметику.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Задача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Процедура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Источники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Наличие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Наблюдение и контрольный пересчёт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Описи, маркировка и фактические позиции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Права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Проверка договоров, консигнации и залога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Договоры и подтверждения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Полнота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Отбор фактических позиций и проверка мест хранения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Складские данные и движение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Себестоимость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Пересчёт закупочных и производственных затрат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Первичные документы и калькуляции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Обесценение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Анализ состояния и последующих продаж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Продажи, прогнозы, затраты завершения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Производство и себестоимость</w:t>
      </w:r>
    </w:p>
    <w:p>
      <w:pPr>
        <w:spacing w:line="240" w:lineRule="auto" w:after="0"/>
        <w:ind w:firstLine="709" w:left="0"/>
        <w:jc w:val="both"/>
      </w:pPr>
      <w:r>
        <w:t>Производственный цикл исследуют от отпуска материалов до выпуска продукции. Аудитор понимает технологические стадии, методы калькуляции, незавершённое производство, нормальную мощность, распределение накладных расходов и учёт потерь.</w:t>
      </w:r>
    </w:p>
    <w:p>
      <w:pPr>
        <w:spacing w:line="240" w:lineRule="auto" w:after="0"/>
        <w:ind w:firstLine="709" w:left="0"/>
        <w:jc w:val="both"/>
      </w:pPr>
      <w:r>
        <w:t>По IAS 2 в себестоимость включают затраты приобретения, переработки и другие затраты, необходимые для доведения запасов до текущего местонахождения и состояния. Сверхнормативные потери и некоторые затраты, не отвечающие этим условиям, не должны автоматически капитализироваться. Проверка направлена на реальное содержание затрат.</w:t>
      </w:r>
    </w:p>
    <w:p>
      <w:pPr>
        <w:spacing w:line="240" w:lineRule="auto" w:after="0"/>
        <w:ind w:firstLine="709" w:left="0"/>
        <w:jc w:val="both"/>
      </w:pPr>
      <w:r>
        <w:t>Распределение постоянных производственных накладных расходов связано с нормальной мощностью. Снижение выпуска не должно автоматически увеличивать стоимость каждой единицы за счёт включения всех нераспределённых расходов. Аудитор исследует принятую базу, загрузку, простои и согласованность расчёта.</w:t>
      </w:r>
    </w:p>
    <w:p>
      <w:pPr>
        <w:spacing w:line="240" w:lineRule="auto" w:after="0"/>
        <w:ind w:firstLine="709" w:left="0"/>
        <w:jc w:val="both"/>
      </w:pPr>
      <w:r>
        <w:t>Незавершённое производство проверяют по фактическому состоянию и степени готовности. Информация технологов подтверждается производственными документами, последующим выпуском и материальным балансом. Завышение степени готовности увеличивает активы и уменьшает расходы периода.</w:t>
      </w:r>
    </w:p>
    <w:p>
      <w:pPr>
        <w:spacing w:line="240" w:lineRule="auto" w:after="0"/>
        <w:ind w:firstLine="709" w:left="0"/>
        <w:jc w:val="both"/>
      </w:pPr>
      <w:r>
        <w:t>Пример: фактически выполнено 40% технологических операций, а калькуляция содержит 90% затрат как завершённых. Аудитор исследует, какие затраты уже понесены и какие требуют дальнейшей обработки. Процент готовности по труду не всегда равен проценту готовности по материалам, поэтому единая доля без анализа может быть ошибочной.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Выручка и продажи</w:t>
      </w:r>
    </w:p>
    <w:p>
      <w:pPr>
        <w:spacing w:line="240" w:lineRule="auto" w:after="0"/>
        <w:ind w:firstLine="709" w:left="0"/>
        <w:jc w:val="both"/>
      </w:pPr>
      <w:r>
        <w:t>При применении IFRS 15 проверку строят вокруг договора и исполнения обязательств: идентифицируют договор, обязанности к исполнению, цену сделки, её распределение и момент признания выручки. Отгрузка, выставление счёта и получение денег не всегда совпадают с передачей контроля над товаром или выполнением услуги.</w:t>
      </w:r>
    </w:p>
    <w:p>
      <w:pPr>
        <w:spacing w:line="240" w:lineRule="auto" w:after="0"/>
        <w:ind w:firstLine="709" w:left="0"/>
        <w:jc w:val="both"/>
      </w:pPr>
      <w:r>
        <w:t>Аудитор исследует условия поставки, приёмку, возвраты, скидки, бонусы, переменное возмещение, агентские отношения и изменения договора. Для операций на границе периода проверяет события до и после отчётной даты. Высокая выручка последней недели и значительные январские возвраты могут указывать на неправильный период или фиктивные продажи.</w:t>
      </w:r>
    </w:p>
    <w:p>
      <w:pPr>
        <w:spacing w:line="240" w:lineRule="auto" w:after="0"/>
        <w:ind w:firstLine="709" w:left="0"/>
        <w:jc w:val="both"/>
      </w:pPr>
      <w:r>
        <w:t>При признании выручки в течение времени проверяют критерии такого признания и метод измерения прогресса. Если показатель основан на затратах, изучают, отражают ли они фактически выполненную работу и нет ли включённых затрат, искажающих прогресс.</w:t>
      </w:r>
    </w:p>
    <w:p>
      <w:pPr>
        <w:spacing w:line="240" w:lineRule="auto" w:after="0"/>
        <w:ind w:firstLine="709" w:left="0"/>
        <w:jc w:val="both"/>
      </w:pPr>
      <w:r>
        <w:t>Пример: клиент оплатил товар в декабре, но контроль передаётся при доставке в январе. Оплата может быть обязательством по договору, а не выручкой декабря. Аудитор оценивает условия договора, факт передачи и учёт на отчётную дату.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Дебиторская задолженность и кредитные убытки</w:t>
      </w:r>
    </w:p>
    <w:p>
      <w:pPr>
        <w:spacing w:line="240" w:lineRule="auto" w:after="0"/>
        <w:ind w:firstLine="709" w:left="0"/>
        <w:jc w:val="both"/>
      </w:pPr>
      <w:r>
        <w:t>Существование подтверждают ответами покупателей, документами исполнения и последующими поступлениями. Для оценки проверяют споры, просрочку, платёжеспособность, обеспечение и модель ожидаемых кредитных убытков по IFRS 9 при её применимости.</w:t>
      </w:r>
    </w:p>
    <w:p>
      <w:pPr>
        <w:spacing w:line="240" w:lineRule="auto" w:after="0"/>
        <w:ind w:firstLine="709" w:left="0"/>
        <w:jc w:val="both"/>
      </w:pPr>
      <w:r>
        <w:t>Подход к ожидаемым убыткам должен учитывать разумную подтверждаемую информацию о прошлых событиях, текущих условиях и прогнозах. Процент резерва по возрасту долга не является достаточным обоснованием без качества исходной истории и оценки текущих условий.</w:t>
      </w:r>
    </w:p>
    <w:p>
      <w:pPr>
        <w:spacing w:line="240" w:lineRule="auto" w:after="0"/>
        <w:ind w:firstLine="709" w:left="0"/>
        <w:jc w:val="both"/>
      </w:pPr>
      <w:r>
        <w:t>Аудитор проверяет полноту совокупности, корректность группировки, отсутствие двойного учёта поступлений, изменения риска и чувствительность. Для крупных специфических споров может понадобиться индивидуальная оценка, даже если общая матрица предусматривает низкую долю потерь.</w:t>
      </w:r>
    </w:p>
    <w:p>
      <w:pPr>
        <w:spacing w:line="240" w:lineRule="auto" w:after="0"/>
        <w:ind w:firstLine="709" w:left="0"/>
        <w:jc w:val="both"/>
      </w:pPr>
      <w:r>
        <w:t>Пример: покупатель погасил 2 млн тенге после отчётной даты, но остаток составляет 10 млн. Поступление поддерживает часть суммы, однако не подтверждает автоматически возмещаемость остальных 8 млн. Требуется исследование статуса покупателя и условий погашения.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Денежные средства</w:t>
      </w:r>
    </w:p>
    <w:p>
      <w:pPr>
        <w:spacing w:line="240" w:lineRule="auto" w:after="0"/>
        <w:ind w:firstLine="709" w:left="0"/>
        <w:jc w:val="both"/>
      </w:pPr>
      <w:r>
        <w:t>Проверка включает банковские подтверждения, независимые сверки, исследование платежей и поступлений, ограничений использования, залога, валютной оценки и отражения денежных эквивалентов. Подтверждённая банком сумма не означает, что все деньги свободно доступны.</w:t>
      </w:r>
    </w:p>
    <w:p>
      <w:pPr>
        <w:spacing w:line="240" w:lineRule="auto" w:after="0"/>
        <w:ind w:firstLine="709" w:left="0"/>
        <w:jc w:val="both"/>
      </w:pPr>
      <w:r>
        <w:t>По банковской сверке исследуют платежи и поступления в пути, старые невыясненные разницы, последующее списание или зачисление и основания корректировок. Крупные переводы между счетами около конца года проверяют по обеим сторонам, чтобы исключить двойное отражение денег.</w:t>
      </w:r>
    </w:p>
    <w:p>
      <w:pPr>
        <w:spacing w:line="240" w:lineRule="auto" w:after="0"/>
        <w:ind w:firstLine="709" w:left="0"/>
        <w:jc w:val="both"/>
      </w:pPr>
      <w:r>
        <w:t>Наличные пересчитывают с учётом безопасности и ответственности клиента. Аудитор сопоставляет результат с кассовым учётом, исследует документы и необычные суммы. Расписка сотрудника вместо фактических денег не становится наличностью; нужно установить природу требования и правильное представление.</w:t>
      </w:r>
    </w:p>
    <w:p>
      <w:pPr>
        <w:spacing w:line="240" w:lineRule="auto" w:after="0"/>
        <w:ind w:firstLine="709" w:left="0"/>
        <w:jc w:val="both"/>
      </w:pPr>
      <w:r>
        <w:t>Денежные эквиваленты должны отвечать критериям применимой отчётности; не каждый краткосрочный финансовый актив является эквивалентом. Электронные деньги, ограниченные счета и овердрафты анализируют по договорным условиям и правилам представления.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Основные средства, аренда и нематериальные активы</w:t>
      </w:r>
    </w:p>
    <w:p>
      <w:pPr>
        <w:spacing w:line="240" w:lineRule="auto" w:after="0"/>
        <w:ind w:firstLine="709" w:left="0"/>
        <w:jc w:val="both"/>
      </w:pPr>
      <w:r>
        <w:t>Для основных средств проверяют наличие и права, первоначальную стоимость, дату готовности к использованию, амортизацию, последующие затраты и признаки обесценения. По IAS 16 признание связано с экономическими выгодами и надёжной оценкой; амортизация начинается при готовности актива к использованию, а не автоматически с даты оплаты.</w:t>
      </w:r>
    </w:p>
    <w:p>
      <w:pPr>
        <w:spacing w:line="240" w:lineRule="auto" w:after="0"/>
        <w:ind w:firstLine="709" w:left="0"/>
        <w:jc w:val="both"/>
      </w:pPr>
      <w:r>
        <w:t>Аудитор исследует ремонты и улучшения по содержанию. Текущий ремонт обычно отличается от затрат, увеличивающих ресурс или заменяющих компонент. При существенных компонентах проверяют раздельную амортизацию и списание заменённых частей, когда это требуется концепцией отчётности.</w:t>
      </w:r>
    </w:p>
    <w:p>
      <w:pPr>
        <w:spacing w:line="240" w:lineRule="auto" w:after="0"/>
        <w:ind w:firstLine="709" w:left="0"/>
        <w:jc w:val="both"/>
      </w:pPr>
      <w:r>
        <w:t>Для аренды при применении IFRS 16 оценивают наличие аренды, срок, платежи, ставку дисконтирования, актив в форме права пользования и обязательство, а также допустимые исключения. Название договора «услуги» не исключает аренду, если содержание содержит соответствующие признаки.</w:t>
      </w:r>
    </w:p>
    <w:p>
      <w:pPr>
        <w:spacing w:line="240" w:lineRule="auto" w:after="0"/>
        <w:ind w:firstLine="709" w:left="0"/>
        <w:jc w:val="both"/>
      </w:pPr>
      <w:r>
        <w:t>Нематериальный актив исследуют на идентифицируемость, контроль, будущие выгоды и критерии признания IAS 38. Наличие расходов на сайт или программное обеспечение не означает автоматическую капитализацию. Для внутренней разработки отдельно оценивают стадию исследования и выполнение критериев стадии разработки.</w:t>
      </w:r>
    </w:p>
    <w:p>
      <w:pPr>
        <w:spacing w:line="240" w:lineRule="auto" w:after="0"/>
        <w:ind w:firstLine="709" w:left="0"/>
        <w:jc w:val="both"/>
      </w:pPr>
      <w:r>
        <w:t>При признаках обесценения применяют соответствующую модель, исследуя денежные потоки, ставки и единицы, генерирующие денежные средства. Рост выручки не исключает обесценения, если маржа и прогноз денежных потоков ухудшаются.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Обязательства, резервы и налоги</w:t>
      </w:r>
    </w:p>
    <w:p>
      <w:pPr>
        <w:spacing w:line="240" w:lineRule="auto" w:after="0"/>
        <w:ind w:firstLine="709" w:left="0"/>
        <w:jc w:val="both"/>
      </w:pPr>
      <w:r>
        <w:t>По займам сверяют договоры, остатки, проценты, обеспечение, ковенанты и классификацию. Срок погашения и право отсрочить расчёт оценивают на отчётную дату по применимым требованиям. Отсутствие текущего требования банка не доказывает, что нарушение ковенанта не влияет на представление долга.</w:t>
      </w:r>
    </w:p>
    <w:p>
      <w:pPr>
        <w:spacing w:line="240" w:lineRule="auto" w:after="0"/>
        <w:ind w:firstLine="709" w:left="0"/>
        <w:jc w:val="both"/>
      </w:pPr>
      <w:r>
        <w:t>Резервы по IAS 37 отличаются от обычной кредиторской задолженности неопределённостью суммы или срока. Для признания исследуют существующую обязанность, вероятность оттока ресурсов и возможность надёжной оценки. Условные обязательства требуют отдельного анализа раскрытия; желание руководства создать резерв «на всякий случай» не является основанием.</w:t>
      </w:r>
    </w:p>
    <w:p>
      <w:pPr>
        <w:spacing w:line="240" w:lineRule="auto" w:after="0"/>
        <w:ind w:firstLine="709" w:left="0"/>
        <w:jc w:val="both"/>
      </w:pPr>
      <w:r>
        <w:t>Налоговые суммы проверяют по действующему законодательству соответствующего периода, а отложенные налоги — по применимой основе финансовой отчётности. Для 2026 года используется новый Налоговый кодекс РК № 214-VIII с переходными положениями. Учебные проводки по экономическому содержанию не заменяют расчёт конкретной ставки и налогового основания.</w:t>
      </w:r>
    </w:p>
    <w:p>
      <w:pPr>
        <w:spacing w:line="240" w:lineRule="auto" w:after="0"/>
        <w:ind w:firstLine="709" w:left="0"/>
        <w:jc w:val="both"/>
      </w:pPr>
      <w:r>
        <w:t>Для оплаты труда сопоставляют кадровые документы, табели, начисления, удержания и выплаты; исследуют фиктивных работников, повторные выплаты, неотражённые обязательства и разграничение периодов. Конкретные налоговые и социальные платежи проверяют по актуальным правилам, категориям работников и пределам базы.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Капитал и раскрытия</w:t>
      </w:r>
    </w:p>
    <w:p>
      <w:pPr>
        <w:spacing w:line="240" w:lineRule="auto" w:after="0"/>
        <w:ind w:firstLine="709" w:left="0"/>
        <w:jc w:val="both"/>
      </w:pPr>
      <w:r>
        <w:t>Изменения капитала подтверждают решениями участников, регистрационными и договорными документами, взносами и учётом. Остаточная природа капитала не означает отсутствие проверяемых фактов: важны права, ограничения распределения, собственные акции и отражение результата.</w:t>
      </w:r>
    </w:p>
    <w:p>
      <w:pPr>
        <w:spacing w:line="240" w:lineRule="auto" w:after="0"/>
        <w:ind w:firstLine="709" w:left="0"/>
        <w:jc w:val="both"/>
      </w:pPr>
      <w:r>
        <w:t>Универсальный процент обязательного резервного капитала нельзя переносить на все организации. Основание формирования и использования устанавливают по организационной форме, законодательству и учредительным документам.</w:t>
      </w:r>
    </w:p>
    <w:p>
      <w:pPr>
        <w:spacing w:line="240" w:lineRule="auto" w:after="0"/>
        <w:ind w:firstLine="709" w:left="0"/>
        <w:jc w:val="both"/>
      </w:pPr>
      <w:r>
        <w:t>Проверяют связанные стороны, залоги, гарантии, обязательства по договорам, существенные оценки и события после отчётной даты. Раскрытия рассматривают вместе с суммами, поскольку правильный баланс может вводить в заблуждение при пропуске значимых условий.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Завершение проверки по существу</w:t>
      </w:r>
    </w:p>
    <w:p>
      <w:pPr>
        <w:spacing w:line="240" w:lineRule="auto" w:after="0"/>
        <w:ind w:firstLine="709" w:left="0"/>
        <w:jc w:val="both"/>
      </w:pPr>
      <w:r>
        <w:t>Результаты обобщают по утверждениям и рискам: полученные доказательства, выявленные искажения, неисследованные исключения и остаточные ограничения. Ошибки обсуждают с руководством и предлагают исправления. Отсутствие найденных ошибок не является достаточным выводом, если процедура не отвечала на риск или данные были неполными.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детальный тест отличается от теста средств контроля?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проверить полноту обязательств по неотфактурованным поставкам?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процедуры применяют к запасам, денежным средствам, основным средствам и капиталу?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связать выявленное искажение с утверждением отчётности и итоговым выводом?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[2], [3], [6], [7], [8], [14], [15], [16], [17], [18], [19], [20].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12. Проверка по существу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