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240" w:lineRule="auto" w:after="0"/>
        <w:ind w:left="709" w:firstLine="0"/>
        <w:jc w:val="left"/>
      </w:pPr>
      <w:r>
        <w:rPr>
          <w:b/>
          <w:sz w:val="24"/>
        </w:rPr>
        <w:t>Лекция 10 «Аудиторские доказательства»</w:t>
      </w:r>
    </w:p>
    <w:p>
      <w:pPr>
        <w:spacing w:line="240" w:lineRule="auto" w:after="0"/>
        <w:ind w:firstLine="709" w:left="0"/>
        <w:jc w:val="both"/>
      </w:pPr>
    </w:p>
    <w:p>
      <w:pPr>
        <w:pStyle w:val="Heading1"/>
        <w:spacing w:line="240" w:lineRule="auto" w:after="0"/>
        <w:ind w:left="709" w:firstLine="0"/>
        <w:jc w:val="left"/>
      </w:pPr>
      <w:r>
        <w:rPr>
          <w:b/>
          <w:sz w:val="24"/>
        </w:rPr>
        <w:t>План лекции</w:t>
      </w:r>
    </w:p>
    <w:p>
      <w:pPr>
        <w:pStyle w:val="ListBullet"/>
        <w:spacing w:line="240" w:lineRule="auto" w:after="0"/>
        <w:ind w:left="709" w:firstLine="0"/>
        <w:jc w:val="left"/>
      </w:pPr>
      <w:r>
        <w:t>Аудиторские доказательства</w:t>
      </w:r>
    </w:p>
    <w:p>
      <w:pPr>
        <w:pStyle w:val="ListBullet"/>
        <w:spacing w:line="240" w:lineRule="auto" w:after="0"/>
        <w:ind w:left="709" w:firstLine="0"/>
        <w:jc w:val="left"/>
      </w:pPr>
      <w:r>
        <w:t>Утверждения отчётности и уместность процедуры</w:t>
      </w:r>
    </w:p>
    <w:p>
      <w:pPr>
        <w:pStyle w:val="ListBullet"/>
        <w:spacing w:line="240" w:lineRule="auto" w:after="0"/>
        <w:ind w:left="709" w:firstLine="0"/>
        <w:jc w:val="left"/>
      </w:pPr>
      <w:r>
        <w:t>Надёжность и происхождение сведений</w:t>
      </w:r>
    </w:p>
    <w:p>
      <w:pPr>
        <w:pStyle w:val="ListBullet"/>
        <w:spacing w:line="240" w:lineRule="auto" w:after="0"/>
        <w:ind w:left="709" w:firstLine="0"/>
        <w:jc w:val="left"/>
      </w:pPr>
      <w:r>
        <w:t>Основные процедуры</w:t>
      </w:r>
    </w:p>
    <w:p>
      <w:pPr>
        <w:pStyle w:val="ListBullet"/>
        <w:spacing w:line="240" w:lineRule="auto" w:after="0"/>
        <w:ind w:left="709" w:firstLine="0"/>
        <w:jc w:val="left"/>
      </w:pPr>
      <w:r>
        <w:t>Внешние подтверждения</w:t>
      </w:r>
    </w:p>
    <w:p>
      <w:pPr>
        <w:pStyle w:val="ListBullet"/>
        <w:spacing w:line="240" w:lineRule="auto" w:after="0"/>
        <w:ind w:left="709" w:firstLine="0"/>
        <w:jc w:val="left"/>
      </w:pPr>
      <w:r>
        <w:t>Доказательства по запасам и оценкам</w:t>
      </w:r>
    </w:p>
    <w:p>
      <w:pPr>
        <w:pStyle w:val="ListBullet"/>
        <w:spacing w:line="240" w:lineRule="auto" w:after="0"/>
        <w:ind w:left="709" w:firstLine="0"/>
        <w:jc w:val="left"/>
      </w:pPr>
      <w:r>
        <w:t>Информация, подготовленная организацией</w:t>
      </w:r>
    </w:p>
    <w:p>
      <w:pPr>
        <w:pStyle w:val="ListBullet"/>
        <w:spacing w:line="240" w:lineRule="auto" w:after="0"/>
        <w:ind w:left="709" w:firstLine="0"/>
        <w:jc w:val="left"/>
      </w:pPr>
      <w:r>
        <w:t>Эксперты и письменные заявления</w:t>
      </w:r>
    </w:p>
    <w:p>
      <w:pPr>
        <w:pStyle w:val="ListBullet"/>
        <w:spacing w:line="240" w:lineRule="auto" w:after="0"/>
        <w:ind w:left="709" w:firstLine="0"/>
        <w:jc w:val="left"/>
      </w:pPr>
      <w:r>
        <w:t>Итоговая оценка и документация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Аудиторские доказательства</w:t>
      </w:r>
    </w:p>
    <w:p>
      <w:pPr>
        <w:spacing w:line="240" w:lineRule="auto" w:after="0"/>
        <w:ind w:firstLine="709" w:left="0"/>
        <w:jc w:val="both"/>
      </w:pPr>
      <w:r>
        <w:t>Аудиторские доказательства — информация, используемая для выводов, на которых основывается мнение. Она включает учётные записи и сведения из других источников. Доказательством может быть документ, ответ третьего лица, результат наблюдения, пересчёта или анализа, а также информация, противоречащая позиции руководства.</w:t>
      </w:r>
    </w:p>
    <w:p>
      <w:pPr>
        <w:spacing w:line="240" w:lineRule="auto" w:after="0"/>
        <w:ind w:firstLine="709" w:left="0"/>
        <w:jc w:val="both"/>
      </w:pPr>
      <w:r>
        <w:t>Достаточность характеризует количество доказательств. Надлежащий характер характеризует их качество, прежде всего уместность и надёжность. При высоком риске обычно требуется больше или более убедительных доказательств. Однако большое количество слабых сведений не компенсирует отсутствие надёжного подтверждения.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Утверждения отчётности и уместность процедуры</w:t>
      </w:r>
    </w:p>
    <w:p>
      <w:pPr>
        <w:spacing w:line="240" w:lineRule="auto" w:after="0"/>
        <w:ind w:firstLine="709" w:left="0"/>
        <w:jc w:val="both"/>
      </w:pPr>
      <w:r>
        <w:t>Утверждения — представления руководства, выраженные явно или неявно в отчётности. Для операций исследуют возникновение, полноту, точность, отнесение к периоду, классификацию и представление. Для остатков — существование, права и обязанности, полноту, точность, оценку и распределение, классификацию и представление.</w:t>
      </w:r>
    </w:p>
    <w:p>
      <w:pPr>
        <w:spacing w:line="240" w:lineRule="auto" w:after="0"/>
        <w:ind w:firstLine="709" w:left="0"/>
        <w:jc w:val="both"/>
      </w:pPr>
      <w:r>
        <w:t>Уместность зависит от связи информации с целью. При проверке существования запасов аудитор выбирает позиции из учёта и находит их физически. Для полноты он выбирает фактические позиции на складе и прослеживает их включение в описи и учёт. Одинаковый объект проверяется в разных направлениях.</w:t>
      </w:r>
    </w:p>
    <w:p>
      <w:pPr>
        <w:spacing w:line="240" w:lineRule="auto" w:after="0"/>
        <w:ind w:firstLine="709" w:left="0"/>
        <w:jc w:val="both"/>
      </w:pPr>
      <w:r>
        <w:t>Подтверждение остатка покупателем может поддержать существование долга, но не всегда его возмещаемость. Для оценки анализируют последующие платежи, спор, финансовое состояние покупателя и ожидаемые кредитные убытки.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Надёжность и происхождение сведений</w:t>
      </w:r>
    </w:p>
    <w:p>
      <w:pPr>
        <w:spacing w:line="240" w:lineRule="auto" w:after="0"/>
        <w:ind w:firstLine="709" w:left="0"/>
        <w:jc w:val="both"/>
      </w:pPr>
      <w:r>
        <w:t>Внешние независимые источники обычно более надёжны, чем внутренние неподтверждённые сведения; непосредственно полученная аудитором информация — более надёжна, чем переданная через клиента. Документы обычно убедительнее устных объяснений. Эти ориентиры не являются абсолютными: внешний источник также может ошибаться или быть заинтересованным.</w:t>
      </w:r>
    </w:p>
    <w:p>
      <w:pPr>
        <w:spacing w:line="240" w:lineRule="auto" w:after="0"/>
        <w:ind w:firstLine="709" w:left="0"/>
        <w:jc w:val="both"/>
      </w:pPr>
      <w:r>
        <w:t>Копия банковской выписки, присланная бухгалтером, и ответ банка, полученный под контролем аудитора, имеют разный риск изменения. Для электронных сведений оценивают подлинность источника, защиту доступа, целостность и возможность изменений.</w:t>
      </w:r>
    </w:p>
    <w:p>
      <w:pPr>
        <w:spacing w:line="240" w:lineRule="auto" w:after="0"/>
        <w:ind w:firstLine="709" w:left="0"/>
        <w:jc w:val="both"/>
      </w:pPr>
      <w:r>
        <w:t>Противоречие между источниками нельзя игнорировать. Если поставщик подтвердил долг, а клиент утверждает, что его нет, исследуют поставку, платежи, возвраты и период. Вывод должен объяснять расхождение.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Основные процедуры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8"/>
        <w:gridCol w:w="3685"/>
        <w:gridCol w:w="3736"/>
      </w:tblGrid>
      <w:tr>
        <w:trPr>
          <w:cantSplit/>
          <w:tblHeader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Процедура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Что даёт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Ограничение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Инспектирование документов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Сведения об условиях, содержании и оформлении операции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Документ может не подтверждать фактическое исполнение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Инспектирование активов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Сведения о наличии и состоянии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Не всегда подтверждает права и стоимость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Наблюдение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Сведения о выполнении процесса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Относится к моменту наблюдения; поведение может измениться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Внешнее подтверждение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Ответ независимой стороны на запрос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Требует контроля адресата и ответа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Пересчёт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Проверку арифметической точности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Не подтверждает правильность исходных допущений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Повторное выполнение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Независимую проверку процедуры или контроля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Нужно воспроизвести релевантные условия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Аналитические процедуры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Сведения о связях и необычных отклонениях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Требуют надёжных данных и достаточной точности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Запрос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Объяснения и сведения от осведомлённых лиц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Обычно нуждается в подтверждении</w:t>
            </w:r>
          </w:p>
        </w:tc>
      </w:tr>
    </w:tbl>
    <w:p>
      <w:pPr>
        <w:spacing w:after="0" w:line="240" w:lineRule="auto"/>
        <w:ind w:firstLine="709" w:left="0"/>
        <w:jc w:val="both"/>
      </w:pP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Внешние подтверждения</w:t>
      </w:r>
    </w:p>
    <w:p>
      <w:pPr>
        <w:spacing w:line="240" w:lineRule="auto" w:after="0"/>
        <w:ind w:firstLine="709" w:left="0"/>
        <w:jc w:val="both"/>
      </w:pPr>
      <w:r>
        <w:t>Аудитор контролирует выбор подтверждаемой информации, определение адресата, подготовку и направление запросов и получение ответов. Если ответы направляются исключительно через клиента, риск перехвата или подмены возрастает.</w:t>
      </w:r>
    </w:p>
    <w:p>
      <w:pPr>
        <w:spacing w:line="240" w:lineRule="auto" w:after="0"/>
        <w:ind w:firstLine="709" w:left="0"/>
        <w:jc w:val="both"/>
      </w:pPr>
      <w:r>
        <w:t>При отсутствии ответа на положительный запрос выполняют альтернативные процедуры. Для задолженности это могут быть последующие поступления, документы поставки и договор. Если деньги поступили после даты, необходимо установить, что они погашают именно проверяемый остаток, а не более позднюю продажу.</w:t>
      </w:r>
    </w:p>
    <w:p>
      <w:pPr>
        <w:spacing w:line="240" w:lineRule="auto" w:after="0"/>
        <w:ind w:firstLine="709" w:left="0"/>
        <w:jc w:val="both"/>
      </w:pPr>
      <w:r>
        <w:t>Исключения исследуют: разница может быть ошибкой, временной разницей, спором или признаком недобросовестного действия. Отрицательные подтверждения дают менее убедительные доказательства и могут использоваться при выполнении предусмотренных стандартом условий, а не как универсальная замена положительных запросов.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Доказательства по запасам и оценкам</w:t>
      </w:r>
    </w:p>
    <w:p>
      <w:pPr>
        <w:spacing w:line="240" w:lineRule="auto" w:after="0"/>
        <w:ind w:firstLine="709" w:left="0"/>
        <w:jc w:val="both"/>
      </w:pPr>
      <w:r>
        <w:t>При существенных запасах обычно необходимы действия по наблюдению за инвентаризацией, если это практически осуществимо: оценка инструкций, наблюдение за пересчётами, инспектирование состояния, контрольные подсчёты и сверка с окончательными данными. Если дата инвентаризации отличается от отчётной, проверяют промежуточное движение.</w:t>
      </w:r>
    </w:p>
    <w:p>
      <w:pPr>
        <w:spacing w:line="240" w:lineRule="auto" w:after="0"/>
        <w:ind w:firstLine="709" w:left="0"/>
        <w:jc w:val="both"/>
      </w:pPr>
      <w:r>
        <w:t>Наблюдение не означает, что аудитор сам проводит инвентаризацию вместо руководства. Руководство организует пересчёт и отвечает за записи. Аудитор получает доказательства и исследует расхождения.</w:t>
      </w:r>
    </w:p>
    <w:p>
      <w:pPr>
        <w:spacing w:line="240" w:lineRule="auto" w:after="0"/>
        <w:ind w:firstLine="709" w:left="0"/>
        <w:jc w:val="both"/>
      </w:pPr>
      <w:r>
        <w:t>Учётные оценки требуют анализа метода, допущений и данных. При резерве по спорной задолженности пересчёт процента подтверждает арифметику, но не разумность вероятности взыскания. Аудитор может исследовать последующие события, проверить модель руководства либо сформировать собственную оценку или диапазон в зависимости от обстоятельств.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Информация, подготовленная организацией</w:t>
      </w:r>
    </w:p>
    <w:p>
      <w:pPr>
        <w:spacing w:line="240" w:lineRule="auto" w:after="0"/>
        <w:ind w:firstLine="709" w:left="0"/>
        <w:jc w:val="both"/>
      </w:pPr>
      <w:r>
        <w:t>Отчёты ERP, таблицы и внутренние расчёты оценивают на полноту, точность и необходимую детализацию. Аудитор устанавливает, как сформирован реестр и какие записи исключены. Для анализа просрочки нужна дата платежа по договору, а не только дата выставления документа.</w:t>
      </w:r>
    </w:p>
    <w:p>
      <w:pPr>
        <w:spacing w:line="240" w:lineRule="auto" w:after="0"/>
        <w:ind w:firstLine="709" w:left="0"/>
        <w:jc w:val="both"/>
      </w:pPr>
      <w:r>
        <w:t>Если таблица построена вручную, необходимо проверить формулы, ссылки, скрытые строки, единицы измерения и исходные суммы. Свёрнутые итоги могут скрывать крупные разнонаправленные ошибки, поэтому иногда необходим анализ на уровне операций.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Эксперты и письменные заявления</w:t>
      </w:r>
    </w:p>
    <w:p>
      <w:pPr>
        <w:spacing w:line="240" w:lineRule="auto" w:after="0"/>
        <w:ind w:firstLine="709" w:left="0"/>
        <w:jc w:val="both"/>
      </w:pPr>
      <w:r>
        <w:t>При использовании работы эксперта аудитора по МСА 620 оценивают компетентность, возможности и объективность, понимают область работы, согласуют цель и оценивают пригодность результата. Работа оценщика не освобождает аудитора от оценки связи модели с отчётностью.</w:t>
      </w:r>
    </w:p>
    <w:p>
      <w:pPr>
        <w:spacing w:line="240" w:lineRule="auto" w:after="0"/>
        <w:ind w:firstLine="709" w:left="0"/>
        <w:jc w:val="both"/>
      </w:pPr>
      <w:r>
        <w:t>Письменные заявления руководства по МСА 580 подтверждают определённые обязанности и сведения. Они необходимы в соответствующих случаях, но не заменяют доступные независимые доказательства. Отказ предоставить требуемые заявления может повлиять на оценку добросовестности и мнение.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Итоговая оценка и документация</w:t>
      </w:r>
    </w:p>
    <w:p>
      <w:pPr>
        <w:spacing w:line="240" w:lineRule="auto" w:after="0"/>
        <w:ind w:firstLine="709" w:left="0"/>
        <w:jc w:val="both"/>
      </w:pPr>
      <w:r>
        <w:t>Перед выводом аудитор отвечает на вопросы: получены ли сведения по каждому значимому утверждению, исследованы ли противоречия, достаточно ли надёжны источники и требуют ли новые факты дополнительных действий? Недостаток доказательств нельзя устранить более уверенной формулировкой вывода.</w:t>
      </w:r>
    </w:p>
    <w:p>
      <w:pPr>
        <w:spacing w:line="240" w:lineRule="auto" w:after="0"/>
        <w:ind w:firstLine="709" w:left="0"/>
        <w:jc w:val="both"/>
      </w:pPr>
      <w:r>
        <w:t>На 6 октября 2026 года предложения по пересмотру МСА 330, 500 и 520 опубликованы как проекты для обсуждения. Проект стандарта не является действующим обязательным требованием. В программе применяют вступившие в силу редакции, а развитие требований отслеживают отдельно.</w:t>
      </w:r>
    </w:p>
    <w:p>
      <w:pPr>
        <w:spacing w:line="240" w:lineRule="auto" w:after="0"/>
        <w:ind w:firstLine="709" w:left="0"/>
        <w:jc w:val="both"/>
      </w:pPr>
      <w:r>
        <w:t>Рабочий документ связывает цель, источник, выбранные элементы, выполненную процедуру, результат и вывод. При выявленной разнице фиксируют её содержание, причину, финансовый эффект и необходимость исправления либо дополнительных процедур.</w:t>
      </w:r>
    </w:p>
    <w:p>
      <w:pPr>
        <w:pStyle w:val="Heading1"/>
        <w:keepNext/>
        <w:keepLines/>
        <w:spacing w:line="240" w:lineRule="auto" w:after="0"/>
        <w:ind w:firstLine="709" w:left="0"/>
        <w:jc w:val="both"/>
      </w:pPr>
      <w:r>
        <w:rPr>
          <w:b/>
          <w:sz w:val="24"/>
        </w:rPr>
        <w:t>Вопросы для самопроверки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Чем достаточность доказательств отличается от их надлежащего характера?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Почему надёжность внешнего документа зависит от способа его получения?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Какие процедуры подтверждают существование запасов, а какие — их полноту?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Как действовать, если подтверждение задолженности не получено или противоречит данным клиента?</w:t>
      </w:r>
    </w:p>
    <w:p>
      <w:pPr>
        <w:pStyle w:val="Heading1"/>
        <w:keepNext/>
        <w:keepLines/>
        <w:spacing w:line="240" w:lineRule="auto" w:after="0"/>
        <w:ind w:firstLine="709" w:left="0"/>
        <w:jc w:val="both"/>
      </w:pPr>
      <w:r>
        <w:rPr>
          <w:b/>
          <w:sz w:val="24"/>
        </w:rPr>
        <w:t>Нормативная и методическая основа</w:t>
      </w:r>
    </w:p>
    <w:p>
      <w:pPr>
        <w:keepNext w:val="0"/>
        <w:keepLines/>
        <w:spacing w:line="240" w:lineRule="auto" w:after="0"/>
        <w:ind w:firstLine="709" w:left="0"/>
        <w:jc w:val="both"/>
      </w:pPr>
      <w:r>
        <w:t>Источники [3], [13]. Полные названия и ссылки приведены в документе «Источники к лекциям по аудиту».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91" w:bottom="1020" w:left="1191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20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АУДИТ  •  Лекционные материалы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40" w:lineRule="auto" w:after="0"/>
    </w:pPr>
    <w:rPr>
      <w:rFonts w:ascii="Times New Roman" w:hAnsi="Times New Roman" w:eastAsia="Times New Roman" w:cs="Times New Roman"/>
      <w:b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b w:val="0"/>
      <w:color w:val="00000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0" w:line="240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0" w:line="240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69" w:lineRule="auto" w:after="100"/>
    </w:pPr>
    <w:rPr>
      <w:rFonts w:ascii="Times New Roman" w:hAnsi="Times New Roman" w:eastAsia="Times New Roman" w:cs="Times New Roman"/>
      <w:b w:val="0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0"/>
      <w:contextualSpacing/>
    </w:pPr>
    <w:rPr>
      <w:rFonts w:ascii="Times New Roman" w:hAnsi="Times New Roman" w:eastAsia="Times New Roman" w:cs="Times New Roman"/>
      <w:b w:val="0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Лекция 10. Аудиторские доказательства</dc:title>
  <dc:subject>Учебный курс. Актуализация 06.10.2026</dc:subject>
  <dc:creator>Перевод и тематическая подготовка по материалам Г. А. Байтикеновой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