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40" w:lineRule="auto" w:after="0"/>
        <w:ind w:left="709" w:firstLine="0"/>
        <w:jc w:val="left"/>
      </w:pPr>
      <w:r>
        <w:rPr>
          <w:b/>
          <w:sz w:val="24"/>
        </w:rPr>
        <w:t>Лекция 9 «Аудиторский риск»</w:t>
      </w:r>
    </w:p>
    <w:p>
      <w:pPr>
        <w:spacing w:line="240" w:lineRule="auto" w:after="0"/>
        <w:ind w:firstLine="709" w:left="0"/>
        <w:jc w:val="both"/>
      </w:pPr>
    </w:p>
    <w:p>
      <w:pPr>
        <w:pStyle w:val="Heading1"/>
        <w:spacing w:line="240" w:lineRule="auto" w:after="0"/>
        <w:ind w:left="709" w:firstLine="0"/>
        <w:jc w:val="left"/>
      </w:pPr>
      <w:r>
        <w:rPr>
          <w:b/>
          <w:sz w:val="24"/>
        </w:rPr>
        <w:t>План лекции</w:t>
      </w:r>
    </w:p>
    <w:p>
      <w:pPr>
        <w:pStyle w:val="ListBullet"/>
        <w:spacing w:line="240" w:lineRule="auto" w:after="0"/>
        <w:ind w:left="709" w:firstLine="0"/>
        <w:jc w:val="left"/>
      </w:pPr>
      <w:r>
        <w:t>Аудиторский риск и его компоненты</w:t>
      </w:r>
    </w:p>
    <w:p>
      <w:pPr>
        <w:pStyle w:val="ListBullet"/>
        <w:spacing w:line="240" w:lineRule="auto" w:after="0"/>
        <w:ind w:left="709" w:firstLine="0"/>
        <w:jc w:val="left"/>
      </w:pPr>
      <w:r>
        <w:t>Неотъемлемый риск</w:t>
      </w:r>
    </w:p>
    <w:p>
      <w:pPr>
        <w:pStyle w:val="ListBullet"/>
        <w:spacing w:line="240" w:lineRule="auto" w:after="0"/>
        <w:ind w:left="709" w:firstLine="0"/>
        <w:jc w:val="left"/>
      </w:pPr>
      <w:r>
        <w:t>Риск средств контроля</w:t>
      </w:r>
    </w:p>
    <w:p>
      <w:pPr>
        <w:pStyle w:val="ListBullet"/>
        <w:spacing w:line="240" w:lineRule="auto" w:after="0"/>
        <w:ind w:left="709" w:firstLine="0"/>
        <w:jc w:val="left"/>
      </w:pPr>
      <w:r>
        <w:t>Риск необнаружения и ответные процедуры</w:t>
      </w:r>
    </w:p>
    <w:p>
      <w:pPr>
        <w:pStyle w:val="ListBullet"/>
        <w:spacing w:line="240" w:lineRule="auto" w:after="0"/>
        <w:ind w:left="709" w:firstLine="0"/>
        <w:jc w:val="left"/>
      </w:pPr>
      <w:r>
        <w:t>Модель риска как учебный инструмент</w:t>
      </w:r>
    </w:p>
    <w:p>
      <w:pPr>
        <w:pStyle w:val="ListBullet"/>
        <w:spacing w:line="240" w:lineRule="auto" w:after="0"/>
        <w:ind w:left="709" w:firstLine="0"/>
        <w:jc w:val="left"/>
      </w:pPr>
      <w:r>
        <w:t>Недобросовестные действия</w:t>
      </w:r>
    </w:p>
    <w:p>
      <w:pPr>
        <w:pStyle w:val="ListBullet"/>
        <w:spacing w:line="240" w:lineRule="auto" w:after="0"/>
        <w:ind w:left="709" w:firstLine="0"/>
        <w:jc w:val="left"/>
      </w:pPr>
      <w:r>
        <w:t>Риски на разных уровнях</w:t>
      </w:r>
    </w:p>
    <w:p>
      <w:pPr>
        <w:pStyle w:val="ListBullet"/>
        <w:spacing w:line="240" w:lineRule="auto" w:after="0"/>
        <w:ind w:left="709" w:firstLine="0"/>
        <w:jc w:val="left"/>
      </w:pPr>
      <w:r>
        <w:t>Пересмотр оценок и ответственность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Аудиторский риск и его компоненты</w:t>
      </w:r>
    </w:p>
    <w:p>
      <w:pPr>
        <w:spacing w:line="240" w:lineRule="auto" w:after="0"/>
        <w:ind w:firstLine="709" w:left="0"/>
        <w:jc w:val="both"/>
      </w:pPr>
      <w:r>
        <w:t>Аудиторский риск — риск выражения ненадлежащего мнения, когда финансовая отчётность существенно искажена. Цель аудитора — снизить его до приемлемо низкого уровня посредством достаточных надлежащих доказательств. Абсолютное устранение риска не является достижимой целью аудита.</w:t>
      </w:r>
    </w:p>
    <w:p>
      <w:pPr>
        <w:spacing w:line="240" w:lineRule="auto" w:after="0"/>
        <w:ind w:firstLine="709" w:left="0"/>
        <w:jc w:val="both"/>
      </w:pPr>
      <w:r>
        <w:t>Аудиторский риск зависит от риска существенного искажения и риска необнаружения. Риск существенного искажения существует до аудиторской проверки и включает неотъемлемый риск и риск средств контроля. Риск необнаружения связан с тем, что процедуры аудитора не обнаружат имеющееся существенное искажение.</w:t>
      </w:r>
    </w:p>
    <w:p>
      <w:pPr>
        <w:spacing w:line="240" w:lineRule="auto" w:after="0"/>
        <w:ind w:firstLine="709" w:left="0"/>
        <w:jc w:val="both"/>
      </w:pPr>
      <w:r>
        <w:t>Предпринимательский риск клиента отличается от аудиторского: потеря рынка может угрожать бизнесу и одновременно создавать риск обесценения активов. Риск аудиторской фирмы потерять клиента или понести судебные расходы также не является компонентом модели риска существенного искажения.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Неотъемлемый риск</w:t>
      </w:r>
    </w:p>
    <w:p>
      <w:pPr>
        <w:spacing w:line="240" w:lineRule="auto" w:after="0"/>
        <w:ind w:firstLine="709" w:left="0"/>
        <w:jc w:val="both"/>
      </w:pPr>
      <w:r>
        <w:t>Неотъемлемый риск характеризует восприимчивость утверждения к существенному искажению до рассмотрения средств контроля. Его факторами являются сложность, субъективность, изменения, неопределённость и подверженность предвзятости руководства или недобросовестным действиям.</w:t>
      </w:r>
    </w:p>
    <w:p>
      <w:pPr>
        <w:spacing w:line="240" w:lineRule="auto" w:after="0"/>
        <w:ind w:firstLine="709" w:left="0"/>
        <w:jc w:val="both"/>
      </w:pPr>
      <w:r>
        <w:t>Сумма по обычной банковской выписке и оценка ожидаемых убытков по проблемной задолженности имеют разную сложность. Вторая зависит от прогнозов поступлений, состояния контрагента и сценариев будущего, поэтому требует анализа допущений и данных.</w:t>
      </w:r>
    </w:p>
    <w:p>
      <w:pPr>
        <w:spacing w:line="240" w:lineRule="auto" w:after="0"/>
        <w:ind w:firstLine="709" w:left="0"/>
        <w:jc w:val="both"/>
      </w:pPr>
      <w:r>
        <w:t>По МСА 315 оценивают вероятность и величину возможного искажения. Высокая позиция на спектре неотъемлемого риска может определять значительный риск. Не каждый крупный остаток автоматически является значительным риском, а небольшой по сумме участок может иметь значимый качественный риск.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Риск средств контроля</w:t>
      </w:r>
    </w:p>
    <w:p>
      <w:pPr>
        <w:spacing w:line="240" w:lineRule="auto" w:after="0"/>
        <w:ind w:firstLine="709" w:left="0"/>
        <w:jc w:val="both"/>
      </w:pPr>
      <w:r>
        <w:t>Риск контроля — риск того, что искажение не будет своевременно предотвращено либо обнаружено и исправлено внутренним контролем. Его оценка связана с пониманием системы и с доказательствами эффективности контролей, если аудитор планирует на них полагаться.</w:t>
      </w:r>
    </w:p>
    <w:p>
      <w:pPr>
        <w:spacing w:line="240" w:lineRule="auto" w:after="0"/>
        <w:ind w:firstLine="709" w:left="0"/>
        <w:jc w:val="both"/>
      </w:pPr>
      <w:r>
        <w:t>Наличие должностной инструкции и подписи не доказывает работу контроля. Аудитор выясняет, что именно проверялось, кем, как последовательно и на основании каких сведений. Если согласование платежей обходилось через административную роль ERP, предполагаемую надёжность контроля нужно пересмотреть.</w:t>
      </w:r>
    </w:p>
    <w:p>
      <w:pPr>
        <w:spacing w:line="240" w:lineRule="auto" w:after="0"/>
        <w:ind w:firstLine="709" w:left="0"/>
        <w:jc w:val="both"/>
      </w:pPr>
      <w:r>
        <w:t>При отсутствии планируемых тестов эффективности аудитор не должен снижать оценку риска существенного искажения только из-за предположения, что система обычно работает хорошо.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Риск необнаружения и ответные процедуры</w:t>
      </w:r>
    </w:p>
    <w:p>
      <w:pPr>
        <w:spacing w:line="240" w:lineRule="auto" w:after="0"/>
        <w:ind w:firstLine="709" w:left="0"/>
        <w:jc w:val="both"/>
      </w:pPr>
      <w:r>
        <w:t>Риск необнаружения связан с неправильным выбором процедуры, недостаточным охватом, ошибочным выполнением или интерпретацией. Он включает как риск выборки, так и риски, не связанные с выборкой.</w:t>
      </w:r>
    </w:p>
    <w:p>
      <w:pPr>
        <w:spacing w:line="240" w:lineRule="auto" w:after="0"/>
        <w:ind w:firstLine="709" w:left="0"/>
        <w:jc w:val="both"/>
      </w:pPr>
      <w:r>
        <w:t>Чем выше оценённый риск существенного искажения, тем более убедительные доказательства требуются и тем ниже допустимый риск необнаружения. Аудитор может изменить процедуру, выполнить её ближе к отчётной дате, увеличить охват и усилить надзор.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3685"/>
        <w:gridCol w:w="3736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Выявленный риск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Утверждение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Направленный ответ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Фиктивная выручка в конце года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Возникновение и отнесение к периоду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Проверка договоров, поставок, подтверждений и возвратов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Неотражённые покупки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Полнота обязательств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Поиск неотражённых долгов по приёмке и последующим платежам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Устаревшие запасы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Оценка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Анализ состояния, продаж и чистой возможной цены продажи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Нереалистичный резерв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Оценка и раскрытие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Проверка модели, данных, допущений и чувствительности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spacing w:line="240" w:lineRule="auto" w:after="0"/>
        <w:ind w:firstLine="709" w:left="0"/>
        <w:jc w:val="both"/>
      </w:pPr>
      <w:r>
        <w:t>Аудиторский ответ должен устранять источник риска. Увеличение количества опросов руководства мало помогает, если риск состоит в предвзятой оценке самого руководства; нужны независимые сведения и проверка допущений.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Модель риска как учебный инструмент</w:t>
      </w:r>
    </w:p>
    <w:p>
      <w:pPr>
        <w:spacing w:line="240" w:lineRule="auto" w:after="0"/>
        <w:ind w:firstLine="709" w:left="0"/>
        <w:jc w:val="both"/>
      </w:pPr>
      <w:r>
        <w:t>Упрощённо модель представляют так: АР = НР × РК × РН, где АР — аудиторский риск, НР — неотъемлемый риск, РК — риск контроля, РН — риск необнаружения. Модель показывает зависимость решений, но не означает, что реальные риски точно измеряются процентами.</w:t>
      </w:r>
    </w:p>
    <w:p>
      <w:pPr>
        <w:spacing w:line="240" w:lineRule="auto" w:after="0"/>
        <w:ind w:firstLine="709" w:left="0"/>
        <w:jc w:val="both"/>
      </w:pPr>
      <w:r>
        <w:t>Учебный пример: АР = 5%, НР = 80%, РК = 50%. Тогда РН = 0,05 / (0,80 × 0,50) = 0,125, или 12,5%. Если оценка риска контроля повышается, допустимый риск необнаружения уменьшается. Значения являются условными предпосылками расчёта, а не нормативными уровнями МСА.</w:t>
      </w:r>
    </w:p>
    <w:p>
      <w:pPr>
        <w:spacing w:line="240" w:lineRule="auto" w:after="0"/>
        <w:ind w:firstLine="709" w:left="0"/>
        <w:jc w:val="both"/>
      </w:pPr>
      <w:r>
        <w:t>В практическом аудите может применяться качественная шкала. Она должна приводить к конкретным изменениям процедур. Запись «риск средний» без описания утверждения, причины и ответа не помогает понять программу.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Недобросовестные действия</w:t>
      </w:r>
    </w:p>
    <w:p>
      <w:pPr>
        <w:spacing w:line="240" w:lineRule="auto" w:after="0"/>
        <w:ind w:firstLine="709" w:left="0"/>
        <w:jc w:val="both"/>
      </w:pPr>
      <w:r>
        <w:t>Ошибка непреднамеренна, недобросовестное действие предполагает умысел. Для финансовой отчётности особенно важны искажение отчётных данных и присвоение активов. Возможные факторы риска — стимулы и давление, возможности совершения действия и его оправдание.</w:t>
      </w:r>
    </w:p>
    <w:p>
      <w:pPr>
        <w:spacing w:line="240" w:lineRule="auto" w:after="0"/>
        <w:ind w:firstLine="709" w:left="0"/>
        <w:jc w:val="both"/>
      </w:pPr>
      <w:r>
        <w:t>МСА 240 требует учитывать риск обхода контроля руководством. Направления ответа включают тестирование проводок и иных корректировок, анализ предвзятости учётных оценок и исследование экономического смысла значительных необычных операций. При признании выручки действует предусмотренная стандартом презумпция риска недобросовестных действий; её опровержение требует обоснования и документации.</w:t>
      </w:r>
    </w:p>
    <w:p>
      <w:pPr>
        <w:spacing w:line="240" w:lineRule="auto" w:after="0"/>
        <w:ind w:firstLine="709" w:left="0"/>
        <w:jc w:val="both"/>
      </w:pPr>
      <w:r>
        <w:t>На 6 октября 2026 года новый МСА 240 в пересмотренной редакции опубликован, но его обязательная дата применения относится к периодам, начинающимся 15 декабря 2026 года или позднее. Для конкретного задания выбирают применимую редакцию, а не только наиболее новую публикацию.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Риски на разных уровнях</w:t>
      </w:r>
    </w:p>
    <w:p>
      <w:pPr>
        <w:spacing w:line="240" w:lineRule="auto" w:after="0"/>
        <w:ind w:firstLine="709" w:left="0"/>
        <w:jc w:val="both"/>
      </w:pPr>
      <w:r>
        <w:t>Риски уровня отчётности имеют широкое влияние: слабая контрольная среда, давление на бухгалтерию, проблемы компетентности или непрерывности деятельности. Ответ на них влияет на организацию всей проверки. Риски уровня утверждений относятся к конкретным операциям, остаткам и раскрытиям.</w:t>
      </w:r>
    </w:p>
    <w:p>
      <w:pPr>
        <w:spacing w:line="240" w:lineRule="auto" w:after="0"/>
        <w:ind w:firstLine="709" w:left="0"/>
        <w:jc w:val="both"/>
      </w:pPr>
      <w:r>
        <w:t>Например, смена финансового директора и потеря ключевых специалистов могут повлиять на многочисленные оценки и процедуры закрытия. А ошибка переноса стоимости конкретной поставки относится прежде всего к определённым счетам и утверждениям. Эти уровни нельзя смешивать.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Пересмотр оценок и ответственность</w:t>
      </w:r>
    </w:p>
    <w:p>
      <w:pPr>
        <w:spacing w:line="240" w:lineRule="auto" w:after="0"/>
        <w:ind w:firstLine="709" w:left="0"/>
        <w:jc w:val="both"/>
      </w:pPr>
      <w:r>
        <w:t>Оценка риска изменяется при новых фактах. Неожиданные ошибки, противоречивые подтверждения и отказ предоставить документы могут потребовать дополнительных действий. Подозрение на недобросовестное действие обсуждают с надлежащим уровнем управления и оценивают влияние на надёжность других объяснений.</w:t>
      </w:r>
    </w:p>
    <w:p>
      <w:pPr>
        <w:spacing w:line="240" w:lineRule="auto" w:after="0"/>
        <w:ind w:firstLine="709" w:left="0"/>
        <w:jc w:val="both"/>
      </w:pPr>
      <w:r>
        <w:t>Страхование ответственности может регулировать финансовые последствия претензий в пределах полиса, но не снижает риск искажения отчётности и не заменяет процедур. Рабочий документ по риску должен включать событие, потенциальное искажение, затронутое утверждение, оценку, ответ и сведения о пересмотре.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Вопросы для самопроверки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различаются неотъемлемый риск, риск контроля и риск необнаружения?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изменение оценённого риска влияет на характер и объём процедур?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Рассчитайте риск необнаружения при АР 5%, НР 80% и РК 50%.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Почему страхование ответственности не снижает риск существенного искажения отчётности?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Нормативная и методическая основа</w:t>
      </w:r>
    </w:p>
    <w:p>
      <w:pPr>
        <w:keepNext w:val="0"/>
        <w:keepLines/>
        <w:spacing w:line="240" w:lineRule="auto" w:after="0"/>
        <w:ind w:firstLine="709" w:left="0"/>
        <w:jc w:val="both"/>
      </w:pPr>
      <w:r>
        <w:t>Источники [3], [10], [11]. Полные названия и ссылки приведены в документе «Источники к лекциям по аудиту».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1020" w:left="1191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20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АУДИТ  •  Лекционные материалы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0"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b w:val="0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0" w:line="240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00"/>
    </w:pPr>
    <w:rPr>
      <w:rFonts w:ascii="Times New Roman" w:hAnsi="Times New Roman" w:eastAsia="Times New Roman" w:cs="Times New Roman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0"/>
      <w:contextualSpacing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9. Аудиторский риск</dc:title>
  <dc:subject>Учебный курс. Актуализация 06.10.2026</dc:subject>
  <dc:creator>Перевод и тематическая подготовка по материалам Г. А. Байтикеновой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