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240" w:lineRule="auto" w:after="0"/>
        <w:ind w:left="709" w:firstLine="0"/>
        <w:jc w:val="left"/>
      </w:pPr>
      <w:r>
        <w:rPr>
          <w:b/>
          <w:sz w:val="24"/>
        </w:rPr>
        <w:t>Лекция 6 «Выборка в аудите»</w:t>
      </w:r>
    </w:p>
    <w:p>
      <w:pPr>
        <w:spacing w:line="240" w:lineRule="auto" w:after="0"/>
        <w:ind w:firstLine="709" w:left="0"/>
        <w:jc w:val="both"/>
      </w:pPr>
    </w:p>
    <w:p>
      <w:pPr>
        <w:pStyle w:val="Heading1"/>
        <w:spacing w:line="240" w:lineRule="auto" w:after="0"/>
        <w:ind w:left="709" w:firstLine="0"/>
        <w:jc w:val="left"/>
      </w:pPr>
      <w:r>
        <w:rPr>
          <w:b/>
          <w:sz w:val="24"/>
        </w:rPr>
        <w:t>План лекции</w:t>
      </w:r>
    </w:p>
    <w:p>
      <w:pPr>
        <w:pStyle w:val="ListBullet"/>
        <w:spacing w:line="240" w:lineRule="auto" w:after="0"/>
        <w:ind w:left="709" w:firstLine="0"/>
        <w:jc w:val="left"/>
      </w:pPr>
      <w:r>
        <w:t>Сущность аудиторской выборки</w:t>
      </w:r>
    </w:p>
    <w:p>
      <w:pPr>
        <w:pStyle w:val="ListBullet"/>
        <w:spacing w:line="240" w:lineRule="auto" w:after="0"/>
        <w:ind w:left="709" w:firstLine="0"/>
        <w:jc w:val="left"/>
      </w:pPr>
      <w:r>
        <w:t>Цель, совокупность и единица отбора</w:t>
      </w:r>
    </w:p>
    <w:p>
      <w:pPr>
        <w:pStyle w:val="ListBullet"/>
        <w:spacing w:line="240" w:lineRule="auto" w:after="0"/>
        <w:ind w:left="709" w:firstLine="0"/>
        <w:jc w:val="left"/>
      </w:pPr>
      <w:r>
        <w:t>Стратификация и комбинированный подход</w:t>
      </w:r>
    </w:p>
    <w:p>
      <w:pPr>
        <w:pStyle w:val="ListBullet"/>
        <w:spacing w:line="240" w:lineRule="auto" w:after="0"/>
        <w:ind w:left="709" w:firstLine="0"/>
        <w:jc w:val="left"/>
      </w:pPr>
      <w:r>
        <w:t>Объём выборки</w:t>
      </w:r>
    </w:p>
    <w:p>
      <w:pPr>
        <w:pStyle w:val="ListBullet"/>
        <w:spacing w:line="240" w:lineRule="auto" w:after="0"/>
        <w:ind w:left="709" w:firstLine="0"/>
        <w:jc w:val="left"/>
      </w:pPr>
      <w:r>
        <w:t>Методы отбора</w:t>
      </w:r>
    </w:p>
    <w:p>
      <w:pPr>
        <w:pStyle w:val="ListBullet"/>
        <w:spacing w:line="240" w:lineRule="auto" w:after="0"/>
        <w:ind w:left="709" w:firstLine="0"/>
        <w:jc w:val="left"/>
      </w:pPr>
      <w:r>
        <w:t>Выполнение процедур и оценка исключений</w:t>
      </w:r>
    </w:p>
    <w:p>
      <w:pPr>
        <w:pStyle w:val="ListBullet"/>
        <w:spacing w:line="240" w:lineRule="auto" w:after="0"/>
        <w:ind w:left="709" w:firstLine="0"/>
        <w:jc w:val="left"/>
      </w:pPr>
      <w:r>
        <w:t>Учебный расчёт и риск выборки</w:t>
      </w:r>
    </w:p>
    <w:p>
      <w:pPr>
        <w:pStyle w:val="ListBullet"/>
        <w:spacing w:line="240" w:lineRule="auto" w:after="0"/>
        <w:ind w:left="709" w:firstLine="0"/>
        <w:jc w:val="left"/>
      </w:pPr>
      <w:r>
        <w:t>Документирование вывода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Сущность аудиторской выборки</w:t>
      </w:r>
    </w:p>
    <w:p>
      <w:pPr>
        <w:spacing w:line="240" w:lineRule="auto" w:after="0"/>
        <w:ind w:firstLine="709" w:left="0"/>
        <w:jc w:val="both"/>
      </w:pPr>
      <w:r>
        <w:t>Аудиторская выборка — применение аудиторских процедур менее чем к 100% элементов релевантной совокупности, при котором элементы имеют возможность быть отобранными, чтобы аудитор получил разумную основу для вывода о совокупности. Выборка позволяет исследовать массовые операции при ограниченных ресурсах и сохранить обоснованность вывода.</w:t>
      </w:r>
    </w:p>
    <w:p>
      <w:pPr>
        <w:spacing w:line="240" w:lineRule="auto" w:after="0"/>
        <w:ind w:firstLine="709" w:left="0"/>
        <w:jc w:val="both"/>
      </w:pPr>
      <w:r>
        <w:t>Следует различать проверку всех элементов, целевой отбор конкретных элементов и выборку. Аудитор может проверить все крупные или необычные операции, но такой отбор не даёт автоматически вывода об остальных операциях. Если отдельно проверены десять крупнейших покупателей, нельзя считать проверенной всю дебиторскую задолженность.</w:t>
      </w:r>
    </w:p>
    <w:p>
      <w:pPr>
        <w:spacing w:line="240" w:lineRule="auto" w:after="0"/>
        <w:ind w:firstLine="709" w:left="0"/>
        <w:jc w:val="both"/>
      </w:pPr>
      <w:r>
        <w:t>Статистическая выборка предполагает случайный отбор и использование теории вероятностей для оценки результатов, включая риск выборки. Нестатистическая выборка также требует обоснования совокупности, объёма и отбора, но оценка не основывается одновременно на обоих этих признаках статистического подхода. Ни один вариант не освобождает от профессионального суждения.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Цель, совокупность и единица отбора</w:t>
      </w:r>
    </w:p>
    <w:p>
      <w:pPr>
        <w:spacing w:line="240" w:lineRule="auto" w:after="0"/>
        <w:ind w:firstLine="709" w:left="0"/>
        <w:jc w:val="both"/>
      </w:pPr>
      <w:r>
        <w:t>Сначала определяют цель и проверяемое утверждение. Для существования дебиторской задолженности совокупностью могут быть отражённые остатки покупателей. Для полноты обязательств нужны также документы о приёмке, платежи после отчётной даты и сведения поставщиков. Реестр отражённых долгов не содержит неотражённых обязательств по определению.</w:t>
      </w:r>
    </w:p>
    <w:p>
      <w:pPr>
        <w:spacing w:line="240" w:lineRule="auto" w:after="0"/>
        <w:ind w:firstLine="709" w:left="0"/>
        <w:jc w:val="both"/>
      </w:pPr>
      <w:r>
        <w:t>Единицей отбора бывает документ, операция, остаток контрагента, контрольное действие или денежная единица. Она должна соответствовать процедуре. При тестировании согласования платежей единицей может быть платёжное поручение; при подтверждении задолженности — остаток покупателя на дату.</w:t>
      </w:r>
    </w:p>
    <w:p>
      <w:pPr>
        <w:spacing w:line="240" w:lineRule="auto" w:after="0"/>
        <w:ind w:firstLine="709" w:left="0"/>
        <w:jc w:val="both"/>
      </w:pPr>
      <w:r>
        <w:t>Полноту совокупности проверяют до отбора: сверяют суммы с учётом, период, подразделения, статусы документов и контрольные итоги. Неполная выгрузка создаёт ошибку, которую увеличение выборки не исправит.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8"/>
        <w:gridCol w:w="3685"/>
        <w:gridCol w:w="3736"/>
      </w:tblGrid>
      <w:tr>
        <w:trPr>
          <w:cantSplit/>
          <w:tblHeader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Параметр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Тест контроля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  <w:shd w:fill="E7EFF5"/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/>
                <w:sz w:val="21"/>
              </w:rPr>
              <w:t>Детальный тест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Цель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Оценить выполнение контроля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Выявить денежное искажение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Результат элемента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Отклонение от установленной процедуры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Разница между отражённой и обоснованной суммой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Ключевой предел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Допустимая частота отклонений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Допустимое искажение</w:t>
            </w:r>
          </w:p>
        </w:tc>
      </w:tr>
      <w:tr>
        <w:trPr>
          <w:cantSplit/>
        </w:trPr>
        <w:tc>
          <w:tcPr>
            <w:tcW w:type="dxa" w:w="243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Ожидание</w:t>
            </w:r>
          </w:p>
        </w:tc>
        <w:tc>
          <w:tcPr>
            <w:tcW w:type="dxa" w:w="368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Ожидаемая частота сбоев</w:t>
            </w:r>
          </w:p>
        </w:tc>
        <w:tc>
          <w:tcPr>
            <w:tcW w:type="dxa" w:w="37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before="60" w:line="240" w:lineRule="auto"/>
            </w:pPr>
            <w:r>
              <w:rPr>
                <w:rFonts w:ascii="Times New Roman" w:hAnsi="Times New Roman"/>
                <w:b w:val="0"/>
                <w:sz w:val="21"/>
              </w:rPr>
              <w:t>Ожидаемая сумма искажений</w:t>
            </w:r>
          </w:p>
        </w:tc>
      </w:tr>
    </w:tbl>
    <w:p>
      <w:pPr>
        <w:spacing w:after="0" w:line="240" w:lineRule="auto"/>
        <w:ind w:firstLine="709" w:left="0"/>
        <w:jc w:val="both"/>
      </w:pP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Стратификация и комбинированный подход</w:t>
      </w:r>
    </w:p>
    <w:p>
      <w:pPr>
        <w:spacing w:line="240" w:lineRule="auto" w:after="0"/>
        <w:ind w:firstLine="709" w:left="0"/>
        <w:jc w:val="both"/>
      </w:pPr>
      <w:r>
        <w:t>Стратификация разделяет совокупность на группы с общими признаками, например по сумме, сроку задолженности или риску. Она уменьшает неоднородность и позволяет точнее направить усилия. Результат по одной группе не распространяется автоматически на другую.</w:t>
      </w:r>
    </w:p>
    <w:p>
      <w:pPr>
        <w:spacing w:line="240" w:lineRule="auto" w:after="0"/>
        <w:ind w:firstLine="709" w:left="0"/>
        <w:jc w:val="both"/>
      </w:pPr>
      <w:r>
        <w:t>Например, задолженность 120 млн тенге состоит из трёх остатков по 20 млн и 600 небольших остатков общей суммой 60 млн. Можно проверить три крупных остатка полностью, а по оставшейся группе сформировать выборку. Итоговый вывод учитывает результаты обеих частей и риски специфических позиций.</w:t>
      </w:r>
    </w:p>
    <w:p>
      <w:pPr>
        <w:spacing w:line="240" w:lineRule="auto" w:after="0"/>
        <w:ind w:firstLine="709" w:left="0"/>
        <w:jc w:val="both"/>
      </w:pPr>
      <w:r>
        <w:t>Нулевые и отрицательные остатки, связанные стороны и спорные позиции могут требовать отдельного подхода. Отбор по денежным единицам ориентирован прежде всего на стоимость и имеет особенности для таких элементов.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Объём выборки</w:t>
      </w:r>
    </w:p>
    <w:p>
      <w:pPr>
        <w:spacing w:line="240" w:lineRule="auto" w:after="0"/>
        <w:ind w:firstLine="709" w:left="0"/>
        <w:jc w:val="both"/>
      </w:pPr>
      <w:r>
        <w:t>Чем выше требуемая уверенность и ожидаемое число ошибок, тем, как правило, больше объём. Чем ниже допустимое искажение или частота отклонений, тем больше работа. Надёжные доказательства из других процедур могут влиять на необходимый объём.</w:t>
      </w:r>
    </w:p>
    <w:p>
      <w:pPr>
        <w:spacing w:line="240" w:lineRule="auto" w:after="0"/>
        <w:ind w:firstLine="709" w:left="0"/>
        <w:jc w:val="both"/>
      </w:pPr>
      <w:r>
        <w:t>Универсального правила «проверять 10% документов» нет. Количество строк — лишь один из факторов; большой реестр однородных малых операций может требовать иной подход, чем небольшой набор крупных и сложных сделок.</w:t>
      </w:r>
    </w:p>
    <w:p>
      <w:pPr>
        <w:spacing w:line="240" w:lineRule="auto" w:after="0"/>
        <w:ind w:firstLine="709" w:left="0"/>
        <w:jc w:val="both"/>
      </w:pPr>
      <w:r>
        <w:t>Аудитор документирует методику определения объёма, входные предпосылки, выбранную совокупность и допустимые уровни. Для статистического метода важно использовать подход, соответствующий цели и модели оценки. Произвольное использование таблицы объёмов без понимания её предпосылок создаёт ложную точность.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Методы отбора</w:t>
      </w:r>
    </w:p>
    <w:p>
      <w:pPr>
        <w:spacing w:line="240" w:lineRule="auto" w:after="0"/>
        <w:ind w:firstLine="709" w:left="0"/>
        <w:jc w:val="both"/>
      </w:pPr>
      <w:r>
        <w:t>Случайный отбор выполняют с помощью генератора случайных чисел или аналогичного механизма. Сохраняют идентификаторы выбранных элементов и сведения, позволяющие воспроизвести отбор.</w:t>
      </w:r>
    </w:p>
    <w:p>
      <w:pPr>
        <w:spacing w:line="240" w:lineRule="auto" w:after="0"/>
        <w:ind w:firstLine="709" w:left="0"/>
        <w:jc w:val="both"/>
      </w:pPr>
      <w:r>
        <w:t>Систематический отбор использует интервал и случайную начальную позицию. Для 1 200 документов и 60 элементов интервал равен 20. Если начальная позиция 7, отбираются позиции 7, 27, 47 и далее. До применения проверяют отсутствие периодичности, совпадающей с интервалом: например, каждая двадцатая запись может относиться к одному подразделению.</w:t>
      </w:r>
    </w:p>
    <w:p>
      <w:pPr>
        <w:spacing w:line="240" w:lineRule="auto" w:after="0"/>
        <w:ind w:firstLine="709" w:left="0"/>
        <w:jc w:val="both"/>
      </w:pPr>
      <w:r>
        <w:t>Бессистемный отбор в нестатистическом подходе требует избегать сознательного выбора удобных элементов. Блочный отбор документов только за одну неделю часто не представляет год, поскольку сезонность и изменения контроля не охвачены.</w:t>
      </w:r>
    </w:p>
    <w:p>
      <w:pPr>
        <w:spacing w:line="240" w:lineRule="auto" w:after="0"/>
        <w:ind w:firstLine="709" w:left="0"/>
        <w:jc w:val="both"/>
      </w:pPr>
      <w:r>
        <w:t>При денежной выборке крупные суммы получают более высокую вероятность отбора. Такой подход может быть эффективен для выявления завышения стоимости, но не решает сам по себе задачу полноты отсутствующих записей.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Выполнение процедур и оценка исключений</w:t>
      </w:r>
    </w:p>
    <w:p>
      <w:pPr>
        <w:spacing w:line="240" w:lineRule="auto" w:after="0"/>
        <w:ind w:firstLine="709" w:left="0"/>
        <w:jc w:val="both"/>
      </w:pPr>
      <w:r>
        <w:t>К каждому выбранному элементу применяют предусмотренную процедуру. Если документ отсутствует, нужно исследовать причину и возможность альтернативных процедур. Нельзя просто заменить неудобный элемент другим, скрыв отсутствие доказательств.</w:t>
      </w:r>
    </w:p>
    <w:p>
      <w:pPr>
        <w:spacing w:line="240" w:lineRule="auto" w:after="0"/>
        <w:ind w:firstLine="709" w:left="0"/>
        <w:jc w:val="both"/>
      </w:pPr>
      <w:r>
        <w:t>Все отклонения и денежные ошибки анализируют по природе и причине. Несколько ошибок одного сотрудника могут указывать на системную проблему, а не независимые случайные случаи. Аномалией считают ошибку, явно нехарактерную для совокупности, лишь при достаточной уверенности и дополнительных доказательствах.</w:t>
      </w:r>
    </w:p>
    <w:p>
      <w:pPr>
        <w:spacing w:line="240" w:lineRule="auto" w:after="0"/>
        <w:ind w:firstLine="709" w:left="0"/>
        <w:jc w:val="both"/>
      </w:pPr>
      <w:r>
        <w:t>В детальных тестах искажения проецируют на проверяемую совокупность с использованием выбранной методики. В тестах контроля оценивают частоту отклонений и последствия для предполагаемой опоры на контроль. Известные ошибки и риск выборки нельзя исключать из оценки только потому, что средний результат выглядит приемлемо.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Учебный расчёт и риск выборки</w:t>
      </w:r>
    </w:p>
    <w:p>
      <w:pPr>
        <w:spacing w:line="240" w:lineRule="auto" w:after="0"/>
        <w:ind w:firstLine="709" w:left="0"/>
        <w:jc w:val="both"/>
      </w:pPr>
      <w:r>
        <w:t>Совокупность имеет стоимость 20 млн тенге. В проверенной части стоимостью 2 млн выявлено завышение 40 тыс. тенге. В упрощённом примере пропорциональная проекция равна 40 000 / 2 000 000 × 20 000 000 = 400 000 тенге. Такая формула допустима как иллюстрация конкретного оценочного подхода, но не является универсальной для всех методов выборки.</w:t>
      </w:r>
    </w:p>
    <w:p>
      <w:pPr>
        <w:spacing w:line="240" w:lineRule="auto" w:after="0"/>
        <w:ind w:firstLine="709" w:left="0"/>
        <w:jc w:val="both"/>
      </w:pPr>
      <w:r>
        <w:t>Если допустимое искажение равно 500 тыс. тенге, проекция 400 тыс. не означает автоматической приемлемости совокупности. Нужно учесть риск выборки, другие ошибки, характер искажений и надёжность иных доказательств. В зависимости от обстоятельств расширяют тест, уточняют совокупность, требуют исправления или пересматривают план.</w:t>
      </w:r>
    </w:p>
    <w:p>
      <w:pPr>
        <w:spacing w:line="240" w:lineRule="auto" w:after="0"/>
        <w:ind w:firstLine="709" w:left="0"/>
        <w:jc w:val="both"/>
      </w:pPr>
      <w:r>
        <w:t>Риск выборки — возможность того, что вывод по выборке отличается от вывода при проверке всей совокупности. Риск, не связанный с выборкой, включает неправильную процедуру и неверную интерпретацию доказательств. Увеличение числа элементов снижает не все риски: ошибочная процедура останется ошибочной даже при проверке 100% документов.</w:t>
      </w:r>
    </w:p>
    <w:p>
      <w:pPr>
        <w:pStyle w:val="Heading2"/>
        <w:spacing w:line="240" w:lineRule="auto" w:after="0"/>
        <w:ind w:firstLine="709" w:left="0"/>
        <w:jc w:val="both"/>
      </w:pPr>
      <w:r>
        <w:rPr>
          <w:b/>
          <w:sz w:val="24"/>
        </w:rPr>
        <w:t>Документирование вывода</w:t>
      </w:r>
    </w:p>
    <w:p>
      <w:pPr>
        <w:spacing w:line="240" w:lineRule="auto" w:after="0"/>
        <w:ind w:firstLine="709" w:left="0"/>
        <w:jc w:val="both"/>
      </w:pPr>
      <w:r>
        <w:t>Рабочий файл должен показывать цель, совокупность, её полноту, единицу отбора, стратификацию, метод и объём, выбранные элементы, результаты, анализ причин ошибок и итоговый вывод. Вывод формулируют в отношении конкретной цели: например, достаточна ли основа для опоры на контроль согласования платежей или подтверждена ли оценка задолженности.</w:t>
      </w:r>
    </w:p>
    <w:p>
      <w:pPr>
        <w:pStyle w:val="Heading1"/>
        <w:keepNext/>
        <w:keepLines/>
        <w:spacing w:line="240" w:lineRule="auto" w:after="0"/>
        <w:ind w:firstLine="709" w:left="0"/>
        <w:jc w:val="both"/>
      </w:pPr>
      <w:r>
        <w:rPr>
          <w:b/>
          <w:sz w:val="24"/>
        </w:rPr>
        <w:t>Вопросы для самопроверки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Чем аудиторская выборка отличается от проверки всех крупных операций?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Как цель проверки влияет на состав генеральной совокупности?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Как работают случайный и систематический отбор и когда возможен перекос?</w:t>
      </w:r>
    </w:p>
    <w:p>
      <w:pPr>
        <w:pStyle w:val="ListBullet"/>
        <w:keepNext/>
        <w:keepLines/>
        <w:spacing w:line="240" w:lineRule="auto" w:after="0"/>
        <w:ind w:left="709" w:firstLine="0"/>
        <w:jc w:val="left"/>
      </w:pPr>
      <w:r>
        <w:t>Как оценить найденные ошибки и почему проекция не заменяет учёт риска выборки?</w:t>
      </w:r>
    </w:p>
    <w:p>
      <w:pPr>
        <w:pStyle w:val="Heading1"/>
        <w:keepNext/>
        <w:keepLines/>
        <w:spacing w:line="240" w:lineRule="auto" w:after="0"/>
        <w:ind w:firstLine="709" w:left="0"/>
        <w:jc w:val="both"/>
      </w:pPr>
      <w:r>
        <w:rPr>
          <w:b/>
          <w:sz w:val="24"/>
        </w:rPr>
        <w:t>Нормативная и методическая основа</w:t>
      </w:r>
    </w:p>
    <w:p>
      <w:pPr>
        <w:keepNext w:val="0"/>
        <w:keepLines/>
        <w:spacing w:line="240" w:lineRule="auto" w:after="0"/>
        <w:ind w:firstLine="709" w:left="0"/>
        <w:jc w:val="both"/>
      </w:pPr>
      <w:r>
        <w:t>Источники [3]. Полные названия и ссылки приведены в документе «Источники к лекциям по аудиту».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91" w:bottom="1020" w:left="1191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20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АУДИТ  •  Лекционные материалы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40" w:lineRule="auto" w:after="0"/>
    </w:pPr>
    <w:rPr>
      <w:rFonts w:ascii="Times New Roman" w:hAnsi="Times New Roman" w:eastAsia="Times New Roman" w:cs="Times New Roman"/>
      <w:b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b w:val="0"/>
      <w:color w:val="00000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0" w:line="240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0" w:line="240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69" w:lineRule="auto" w:after="100"/>
    </w:pPr>
    <w:rPr>
      <w:rFonts w:ascii="Times New Roman" w:hAnsi="Times New Roman" w:eastAsia="Times New Roman" w:cs="Times New Roman"/>
      <w:b w:val="0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0"/>
      <w:contextualSpacing/>
    </w:pPr>
    <w:rPr>
      <w:rFonts w:ascii="Times New Roman" w:hAnsi="Times New Roman" w:eastAsia="Times New Roman" w:cs="Times New Roman"/>
      <w:b w:val="0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Лекция 6. Выборка в аудите</dc:title>
  <dc:subject>Учебный курс. Актуализация 06.10.2026</dc:subject>
  <dc:creator>Перевод и тематическая подготовка по материалам Г. А. Байтикеновой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