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240" w:lineRule="auto" w:after="0"/>
        <w:ind w:left="709" w:firstLine="0"/>
        <w:jc w:val="left"/>
      </w:pPr>
      <w:r>
        <w:rPr>
          <w:b/>
          <w:sz w:val="24"/>
        </w:rPr>
        <w:t>Лекция 5 «Система внутреннего контроля клиента»</w:t>
      </w:r>
    </w:p>
    <w:p>
      <w:pPr>
        <w:spacing w:line="240" w:lineRule="auto" w:after="0"/>
        <w:ind w:firstLine="709" w:left="0"/>
        <w:jc w:val="both"/>
      </w:pPr>
    </w:p>
    <w:p>
      <w:pPr>
        <w:pStyle w:val="Heading1"/>
        <w:spacing w:line="240" w:lineRule="auto" w:after="0"/>
        <w:ind w:left="709" w:firstLine="0"/>
        <w:jc w:val="left"/>
      </w:pPr>
      <w:r>
        <w:rPr>
          <w:b/>
          <w:sz w:val="24"/>
        </w:rPr>
        <w:t>План лекции</w:t>
      </w:r>
    </w:p>
    <w:p>
      <w:pPr>
        <w:pStyle w:val="ListBullet"/>
        <w:spacing w:line="240" w:lineRule="auto" w:after="0"/>
        <w:ind w:left="709" w:firstLine="0"/>
        <w:jc w:val="left"/>
      </w:pPr>
      <w:r>
        <w:t>Назначение внутреннего контроля</w:t>
      </w:r>
    </w:p>
    <w:p>
      <w:pPr>
        <w:pStyle w:val="ListBullet"/>
        <w:spacing w:line="240" w:lineRule="auto" w:after="0"/>
        <w:ind w:left="709" w:firstLine="0"/>
        <w:jc w:val="left"/>
      </w:pPr>
      <w:r>
        <w:t>Пять компонентов системы</w:t>
      </w:r>
    </w:p>
    <w:p>
      <w:pPr>
        <w:pStyle w:val="ListBullet"/>
        <w:spacing w:line="240" w:lineRule="auto" w:after="0"/>
        <w:ind w:left="709" w:firstLine="0"/>
        <w:jc w:val="left"/>
      </w:pPr>
      <w:r>
        <w:t>Контрольная среда и разделение обязанностей</w:t>
      </w:r>
    </w:p>
    <w:p>
      <w:pPr>
        <w:pStyle w:val="ListBullet"/>
        <w:spacing w:line="240" w:lineRule="auto" w:after="0"/>
        <w:ind w:left="709" w:firstLine="0"/>
        <w:jc w:val="left"/>
      </w:pPr>
      <w:r>
        <w:t>Информационная система и ИТ-контроли</w:t>
      </w:r>
    </w:p>
    <w:p>
      <w:pPr>
        <w:pStyle w:val="ListBullet"/>
        <w:spacing w:line="240" w:lineRule="auto" w:after="0"/>
        <w:ind w:left="709" w:firstLine="0"/>
        <w:jc w:val="left"/>
      </w:pPr>
      <w:r>
        <w:t>Оценка построения и внедрения</w:t>
      </w:r>
    </w:p>
    <w:p>
      <w:pPr>
        <w:pStyle w:val="ListBullet"/>
        <w:spacing w:line="240" w:lineRule="auto" w:after="0"/>
        <w:ind w:left="709" w:firstLine="0"/>
        <w:jc w:val="left"/>
      </w:pPr>
      <w:r>
        <w:t>Тестирование операционной эффективности</w:t>
      </w:r>
    </w:p>
    <w:p>
      <w:pPr>
        <w:pStyle w:val="ListBullet"/>
        <w:spacing w:line="240" w:lineRule="auto" w:after="0"/>
        <w:ind w:left="709" w:firstLine="0"/>
        <w:jc w:val="left"/>
      </w:pPr>
      <w:r>
        <w:t>Ограничения и связь с процедурами по существу</w:t>
      </w:r>
    </w:p>
    <w:p>
      <w:pPr>
        <w:pStyle w:val="ListBullet"/>
        <w:spacing w:line="240" w:lineRule="auto" w:after="0"/>
        <w:ind w:left="709" w:firstLine="0"/>
        <w:jc w:val="left"/>
      </w:pPr>
      <w:r>
        <w:t>Сообщение недостатков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Назначение внутреннего контроля</w:t>
      </w:r>
    </w:p>
    <w:p>
      <w:pPr>
        <w:spacing w:line="240" w:lineRule="auto" w:after="0"/>
        <w:ind w:firstLine="709" w:left="0"/>
        <w:jc w:val="both"/>
      </w:pPr>
      <w:r>
        <w:t>Внутренний контроль — система процессов, обеспечивающая разумную уверенность в достижении целей организации, включая надёжность отчётности, эффективность деятельности и соблюдение требований. Ответственность за создание и функционирование системы лежит на руководстве. Внешний аудитор изучает контроль в объёме, необходимом для выявления рисков и выбора аудиторских процедур.</w:t>
      </w:r>
    </w:p>
    <w:p>
      <w:pPr>
        <w:spacing w:line="240" w:lineRule="auto" w:after="0"/>
        <w:ind w:firstLine="709" w:left="0"/>
        <w:jc w:val="both"/>
      </w:pPr>
      <w:r>
        <w:t>Контроль не ограничивается подписью на документе. Он может быть встроен в ERP, выполняться автоматически либо осуществляться человеком. Пример автоматического контроля — запрет регистрации повторного номера счёта одного поставщика; пример ручного — независимое исследование банковской сверки.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Пять компонентов системы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3685"/>
        <w:gridCol w:w="3736"/>
      </w:tblGrid>
      <w:tr>
        <w:trPr>
          <w:cantSplit/>
          <w:tblHeader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Компонент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Что рассматривает аудитор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Пример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Контрольная среда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Этику, структуру, полномочия, компетентность и надзор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Реальное реагирование руководства на нарушения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Оценка рисков организацией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Выявление и анализ угроз бизнесу и отчётности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Анализ неплатежей новых клиентов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Мониторинг контроля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Отслеживание работы системы и устранение недостатков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Проверка причин повторных ошибок сверки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Информационная система и коммуникация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Потоки операций, учёт, отчётность и передачу информации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Связь складского учёта и Главной книги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Контрольные действия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Меры предотвращения и обнаружения искажений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Согласование платежа и ограничение доступа</w:t>
            </w:r>
          </w:p>
        </w:tc>
      </w:tr>
    </w:tbl>
    <w:p>
      <w:pPr>
        <w:spacing w:after="0" w:line="240" w:lineRule="auto"/>
        <w:ind w:firstLine="709" w:left="0"/>
        <w:jc w:val="both"/>
      </w:pPr>
    </w:p>
    <w:p>
      <w:pPr>
        <w:spacing w:line="240" w:lineRule="auto" w:after="0"/>
        <w:ind w:firstLine="709" w:left="0"/>
        <w:jc w:val="both"/>
      </w:pPr>
      <w:r>
        <w:t>Компоненты связаны. Хорошо настроенный запрет в программе мало помогает, если администратор может бесконтрольно отключать его по просьбе руководства. Сильная контрольная среда поддерживает отдельные меры, а мониторинг показывает, сохраняют ли они эффективность.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Контрольная среда и разделение обязанностей</w:t>
      </w:r>
    </w:p>
    <w:p>
      <w:pPr>
        <w:spacing w:line="240" w:lineRule="auto" w:after="0"/>
        <w:ind w:firstLine="709" w:left="0"/>
        <w:jc w:val="both"/>
      </w:pPr>
      <w:r>
        <w:t>Контрольная среда отражает отношение руководства к добросовестности, компетентности и ответственности. Аудитор оценивает не только наличие кодекса, но и действия: расследуются ли нарушения, допускается ли давление на бухгалтерию, могут ли сотрудники сообщать о проблемах.</w:t>
      </w:r>
    </w:p>
    <w:p>
      <w:pPr>
        <w:spacing w:line="240" w:lineRule="auto" w:after="0"/>
        <w:ind w:firstLine="709" w:left="0"/>
        <w:jc w:val="both"/>
      </w:pPr>
      <w:r>
        <w:t>Разделение обязанностей снижает риск того, что одно лицо совершит и скроет ошибку или злоупотребление. Обычно разделяют разрешение операции, распоряжение активом, ведение записей и независимую проверку. Если один сотрудник создаёт поставщика, меняет его банковские реквизиты, формирует платёж и подтверждает сверку, он контролирует весь процесс.</w:t>
      </w:r>
    </w:p>
    <w:p>
      <w:pPr>
        <w:spacing w:line="240" w:lineRule="auto" w:after="0"/>
        <w:ind w:firstLine="709" w:left="0"/>
        <w:jc w:val="both"/>
      </w:pPr>
      <w:r>
        <w:t>В небольшой организации полное разделение может быть затруднено. Тогда рассматривают компенсирующие меры: независимое подтверждение реквизитов, просмотр выписок собственником, контроль изменений справочника. Эффективность такой меры зависит от компетентности проверяющего, точности проверки и документирования результата.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Информационная система и ИТ-контроли</w:t>
      </w:r>
    </w:p>
    <w:p>
      <w:pPr>
        <w:spacing w:line="240" w:lineRule="auto" w:after="0"/>
        <w:ind w:firstLine="709" w:left="0"/>
        <w:jc w:val="both"/>
      </w:pPr>
      <w:r>
        <w:t>Аудитор прослеживает операции от возникновения до отчётности: заказ → поставка → документ → учётная запись → остаток → раскрытие. Он выясняет, где данные вводятся вручную, где передаются между системами и где могут быть потеряны или изменены.</w:t>
      </w:r>
    </w:p>
    <w:p>
      <w:pPr>
        <w:spacing w:line="240" w:lineRule="auto" w:after="0"/>
        <w:ind w:firstLine="709" w:left="0"/>
        <w:jc w:val="both"/>
      </w:pPr>
      <w:r>
        <w:t>Общие ИТ-контроли относятся к доступу, управлению изменениями и эксплуатации систем. Прикладные контроли относятся к конкретной обработке данных: проверки диапазонов, обязательных полей, согласования сумм, сопоставления заказа, приёмки и счёта.</w:t>
      </w:r>
    </w:p>
    <w:p>
      <w:pPr>
        <w:spacing w:line="240" w:lineRule="auto" w:after="0"/>
        <w:ind w:firstLine="709" w:left="0"/>
        <w:jc w:val="both"/>
      </w:pPr>
      <w:r>
        <w:t>Если аудитор намерен полагаться на автоматический контроль, необходимо оценить связанные риски ИТ и релевантные общие ИТ-контроли. Успешный тест одного платежа не доказывает, что правило неизменно работало весь год и не обходилось через привилегированный доступ.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Оценка построения и внедрения</w:t>
      </w:r>
    </w:p>
    <w:p>
      <w:pPr>
        <w:spacing w:line="240" w:lineRule="auto" w:after="0"/>
        <w:ind w:firstLine="709" w:left="0"/>
        <w:jc w:val="both"/>
      </w:pPr>
      <w:r>
        <w:t>Оценка построения отвечает на вопрос: способен ли контроль предотвратить либо своевременно обнаружить и исправить соответствующее искажение? Проверка внедрения устанавливает, существует ли контроль и используется ли он. Запрос сотруднику обычно дополняют наблюдением, инспектированием или прослеживанием операции.</w:t>
      </w:r>
    </w:p>
    <w:p>
      <w:pPr>
        <w:spacing w:line="240" w:lineRule="auto" w:after="0"/>
        <w:ind w:firstLine="709" w:left="0"/>
        <w:jc w:val="both"/>
      </w:pPr>
      <w:r>
        <w:t>Пример: на платёжном поручении имеется подпись директора. Аудитор выясняет, что именно директор проверяет: только остаток денег или также договор, приёмку, сумму и реквизиты. Если директор подписывает автоматически, подпись не подтверждает контроль экономического основания платежа.</w:t>
      </w:r>
    </w:p>
    <w:p>
      <w:pPr>
        <w:spacing w:line="240" w:lineRule="auto" w:after="0"/>
        <w:ind w:firstLine="709" w:left="0"/>
        <w:jc w:val="both"/>
      </w:pPr>
      <w:r>
        <w:t>Сквозное прослеживание одной операции помогает понять процесс и внедрение ключевых мер. Оно не равно тестированию операционной эффективности за весь период.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Тестирование операционной эффективности</w:t>
      </w:r>
    </w:p>
    <w:p>
      <w:pPr>
        <w:spacing w:line="240" w:lineRule="auto" w:after="0"/>
        <w:ind w:firstLine="709" w:left="0"/>
        <w:jc w:val="both"/>
      </w:pPr>
      <w:r>
        <w:t>Когда аудитор планирует полагаться на контроль либо только процедуры по существу не дают достаточных доказательств, он выполняет соответствующие тесты контроля. Проверяется, как, кем и насколько последовательно контроль применялся в релевантный период.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3685"/>
        <w:gridCol w:w="3736"/>
      </w:tblGrid>
      <w:tr>
        <w:trPr>
          <w:cantSplit/>
          <w:tblHeader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Контроль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Возможный тест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Что будет отклонением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Независимое согласование закупки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Выбор документов за период и проверка оснований согласования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Согласование после закупки или неуполномоченным лицом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Банковская сверка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Повторное выполнение сверки и просмотр исследования разниц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Необъяснённые старые разницы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Контроль изменений реквизитов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Анализ журнала и подтверждений изменений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Изменение без независимой проверки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Блокировка повторного счёта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Проверка конфигурации и испытание правила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Повторная запись успешно проходит без разрешённого исключения</w:t>
            </w:r>
          </w:p>
        </w:tc>
      </w:tr>
    </w:tbl>
    <w:p>
      <w:pPr>
        <w:spacing w:after="0" w:line="240" w:lineRule="auto"/>
        <w:ind w:firstLine="709" w:left="0"/>
        <w:jc w:val="both"/>
      </w:pPr>
    </w:p>
    <w:p>
      <w:pPr>
        <w:spacing w:line="240" w:lineRule="auto" w:after="0"/>
        <w:ind w:firstLine="709" w:left="0"/>
        <w:jc w:val="both"/>
      </w:pPr>
      <w:r>
        <w:t>Объём теста зависит от частоты контроля, периода, характера риска и ожидаемых отклонений. При выявлении исключения аудитор исследует причину и влияние на предполагаемую опору на контроль. Один сбой может свидетельствовать о случайном отклонении либо о системной проблеме; решение требует фактов.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Ограничения и связь с процедурами по существу</w:t>
      </w:r>
    </w:p>
    <w:p>
      <w:pPr>
        <w:spacing w:line="240" w:lineRule="auto" w:after="0"/>
        <w:ind w:firstLine="709" w:left="0"/>
        <w:jc w:val="both"/>
      </w:pPr>
      <w:r>
        <w:t>Контроль имеет ограничения: человеческие ошибки, сговор, обход руководством, изменения систем и несоразмерные затраты. Поэтому эффективный контроль не устраняет необходимость процедур по существу для существенных статей и раскрытий.</w:t>
      </w:r>
    </w:p>
    <w:p>
      <w:pPr>
        <w:spacing w:line="240" w:lineRule="auto" w:after="0"/>
        <w:ind w:firstLine="709" w:left="0"/>
        <w:jc w:val="both"/>
      </w:pPr>
      <w:r>
        <w:t>Предположим, система сверяет счёт с заказом и приёмкой. Это снижает риск оплаты непоставленного товара. Однако оценка запасов по чистой возможной цене продажи требует других сведений: рыночных цен, состояния и затрат на завершение и продажу. Контроль закупки не подтверждает автоматически оценку запасов.</w:t>
      </w:r>
    </w:p>
    <w:p>
      <w:pPr>
        <w:spacing w:line="240" w:lineRule="auto" w:after="0"/>
        <w:ind w:firstLine="709" w:left="0"/>
        <w:jc w:val="both"/>
      </w:pPr>
      <w:r>
        <w:t>Схема решения: риск искажения → релевантный контроль → оценка построения и внедрения → решение об опоре → тест эффективности → пересмотр риска и программы. Оценка контроля всегда связывается с конкретным утверждением отчётности.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Сообщение недостатков</w:t>
      </w:r>
    </w:p>
    <w:p>
      <w:pPr>
        <w:spacing w:line="240" w:lineRule="auto" w:after="0"/>
        <w:ind w:firstLine="709" w:left="0"/>
        <w:jc w:val="both"/>
      </w:pPr>
      <w:r>
        <w:t>Значительные недостатки внутреннего контроля сообщают лицам, отвечающим за корпоративное управление, в соответствии с МСА 265. Сообщение содержит понятное описание недостатка и возможного эффекта. Аудитор не обязан выявить все недостатки организации, если целью является аудит финансовой отчётности.</w:t>
      </w:r>
    </w:p>
    <w:p>
      <w:pPr>
        <w:spacing w:line="240" w:lineRule="auto" w:after="0"/>
        <w:ind w:firstLine="709" w:left="0"/>
        <w:jc w:val="both"/>
      </w:pPr>
      <w:r>
        <w:t>Практический пример: сотрудник самостоятельно меняет реквизиты поставщика и проводит платежи. В сообщении описывают сочетание полномочий, риск несанкционированного перевода, отсутствие независимой проверки и рекомендуемое разделение функций. Фраза «усилить контроль» без указания конкретной меры мало помогает руководству.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Вопросы для самопроверки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Чем построение контроля отличается от его внедрения и операционной эффективности?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 разделение обязанностей снижает риск ошибок и злоупотреблений?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Какие ограничения сохраняются даже в хорошо организованной системе контроля?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Какие доказательства нужны для оценки согласования платежей в течение года?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Нормативная и методическая основа</w:t>
      </w:r>
    </w:p>
    <w:p>
      <w:pPr>
        <w:keepNext w:val="0"/>
        <w:keepLines/>
        <w:spacing w:line="240" w:lineRule="auto" w:after="0"/>
        <w:ind w:firstLine="709" w:left="0"/>
        <w:jc w:val="both"/>
      </w:pPr>
      <w:r>
        <w:t>Источники [3], [10]. Полные названия и ссылки приведены в документе «Источники к лекциям по аудиту».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91" w:bottom="1020" w:left="1191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20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АУДИТ  •  Лекционные материалы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0" w:lineRule="auto" w:after="0"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b w:val="0"/>
      <w:color w:val="00000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0" w:line="240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0" w:line="240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00"/>
    </w:pPr>
    <w:rPr>
      <w:rFonts w:ascii="Times New Roman" w:hAnsi="Times New Roman" w:eastAsia="Times New Roman" w:cs="Times New Roman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0"/>
      <w:contextualSpacing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Лекция 5. Система внутреннего контроля клиента</dc:title>
  <dc:subject>Учебный курс. Актуализация 06.10.2026</dc:subject>
  <dc:creator>Перевод и тематическая подготовка по материалам Г. А. Байтикеновой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