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3 «Нормативно правовые и информационные основы аудита»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Правовая и методологическая основа аудита в Казахстане</w:t>
      </w:r>
    </w:p>
    <w:p>
      <w:pPr>
        <w:pStyle w:val="ListBullet"/>
        <w:spacing w:line="240" w:lineRule="auto" w:after="0"/>
        <w:ind w:left="709" w:firstLine="0"/>
        <w:jc w:val="left"/>
      </w:pPr>
      <w:r>
        <w:t>Иерархия требований и применимая концепция отчётности</w:t>
      </w:r>
    </w:p>
    <w:p>
      <w:pPr>
        <w:pStyle w:val="ListBullet"/>
        <w:spacing w:line="240" w:lineRule="auto" w:after="0"/>
        <w:ind w:left="709" w:firstLine="0"/>
        <w:jc w:val="left"/>
      </w:pPr>
      <w:r>
        <w:t>Как установить актуальную редакцию</w:t>
      </w:r>
    </w:p>
    <w:p>
      <w:pPr>
        <w:pStyle w:val="ListBullet"/>
        <w:spacing w:line="240" w:lineRule="auto" w:after="0"/>
        <w:ind w:left="709" w:firstLine="0"/>
        <w:jc w:val="left"/>
      </w:pPr>
      <w:r>
        <w:t>Информационная база проверки</w:t>
      </w:r>
    </w:p>
    <w:p>
      <w:pPr>
        <w:pStyle w:val="ListBullet"/>
        <w:spacing w:line="240" w:lineRule="auto" w:after="0"/>
        <w:ind w:left="709" w:firstLine="0"/>
        <w:jc w:val="left"/>
      </w:pPr>
      <w:r>
        <w:t>Полнота и надёжность электронных данных</w:t>
      </w:r>
    </w:p>
    <w:p>
      <w:pPr>
        <w:pStyle w:val="ListBullet"/>
        <w:spacing w:line="240" w:lineRule="auto" w:after="0"/>
        <w:ind w:left="709" w:firstLine="0"/>
        <w:jc w:val="left"/>
      </w:pPr>
      <w:r>
        <w:t>Соблюдение законодательства и профессиональное реагирование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Правовая и методологическая основа аудита в Казахстане</w:t>
      </w:r>
    </w:p>
    <w:p>
      <w:pPr>
        <w:spacing w:line="240" w:lineRule="auto" w:after="0"/>
        <w:ind w:firstLine="709" w:left="0"/>
        <w:jc w:val="both"/>
      </w:pPr>
      <w:r>
        <w:t>Аудитор должен различать три группы требований: правила допуска к профессиональной деятельности, правила выполнения аудиторского задания и критерии подготовки проверяемой отчётности. Нарушение любой из этих групп может повлиять на правомерность работы или обоснованность результата.</w:t>
      </w:r>
    </w:p>
    <w:p>
      <w:pPr>
        <w:spacing w:line="240" w:lineRule="auto" w:after="0"/>
        <w:ind w:firstLine="709" w:left="0"/>
        <w:jc w:val="both"/>
      </w:pPr>
      <w:r>
        <w:t>Закон РК от 20 ноября 1998 года № 304 «Об аудиторской деятельности» регулирует профессиональную деятельность, права и обязанности её участников, виды аудита и требования к результатам. Закон РК от 28 февраля 2007 года № 234 «О бухгалтерском учёте и финансовой отчётности» определяет основу формирования учётной информации. Эти акты применяются вместе с отраслевым регулированием и стандартами.</w:t>
      </w:r>
    </w:p>
    <w:p>
      <w:pPr>
        <w:spacing w:line="240" w:lineRule="auto" w:after="0"/>
        <w:ind w:firstLine="709" w:left="0"/>
        <w:jc w:val="both"/>
      </w:pPr>
      <w:r>
        <w:t>Право осуществлять аудиторскую деятельность принадлежит лицензированным аудиторским организациям. Квалификация физического лица и лицензия организации решают разные вопросы: наличие квалификационного свидетельства не заменяет лицензию аудиторской организации. Для обязательного аудита дополнительно оценивают соответствие установленным минимальным требованиям.</w:t>
      </w:r>
    </w:p>
    <w:p>
      <w:pPr>
        <w:spacing w:line="240" w:lineRule="auto" w:after="0"/>
        <w:ind w:firstLine="709" w:left="0"/>
        <w:jc w:val="both"/>
      </w:pPr>
      <w:r>
        <w:t>При аудите финансовой организации необходимо учитывать специальные требования регулятора. Критерии, достаточные для обычного торгового ТОО, могут быть недостаточны для банка, страховой компании или эмитента. Задание по аудиту иной информации в финансовом секторе также имеет собственные цели и нормативные требования; оно не тождественно чтению прочей информации по МСА 720.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Иерархия требований и применимая концепция отчётности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Уровень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Что устанавливает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Действия аудитора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Законодательство и отраслевые акты РК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Обязанности, ограничения, критерии и специальные правила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Установить сферу действия и применимую редакцию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Концепция финансовой отчётности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Признание, оценку, представление и раскрытие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Определить основу отчётности данного субъекта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Международные стандарты аудита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Требования к выполнению проверки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Связать требования с рисками задания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Кодекс этики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Этическое поведение и независимость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Оценить угрозы и допустимость услуг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Методики фирмы и программа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Конкретные формы и последовательность работы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Адаптировать их без ослабления обязательных требований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Применимая концепция отчётности определяется статусом и категорией организации, требованиями законодательства и разрешёнными вариантами. Нельзя автоматически считать, что все субъекты Казахстана составляют отчётность по полным МСФО. Аудитор выясняет, требуется ли применение МСФО, МСФО для МСП, национального стандарта либо иной специальной основы.</w:t>
      </w:r>
    </w:p>
    <w:p>
      <w:pPr>
        <w:spacing w:line="240" w:lineRule="auto" w:after="0"/>
        <w:ind w:firstLine="709" w:left="0"/>
        <w:jc w:val="both"/>
      </w:pPr>
      <w:r>
        <w:t>Учётная политика конкретизирует допустимые способы учёта: например, метод оценки запасов и подход к оценке резервов. Она не может отменить критерий стандарта. Если предприятие заявляет применение МСФО, но признаёт выручку только после оплаты, аудитор исследует соответствие начисления и условий признания, а не принимает внутренний приказ как достаточное основание.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Как установить актуальную редакцию</w:t>
      </w:r>
    </w:p>
    <w:p>
      <w:pPr>
        <w:spacing w:line="240" w:lineRule="auto" w:after="0"/>
        <w:ind w:firstLine="709" w:left="0"/>
        <w:jc w:val="both"/>
      </w:pPr>
      <w:r>
        <w:t>Проверка актуальности включает дату принятия, дату официального опубликования, дату вступления в силу и переходные положения. Важно различать дату аудиторского отчёта и проверяемый период. Операции 2025 года могут оцениваться по требованиям этого периода, даже если отчёт аудитора выпускается в 2026 году.</w:t>
      </w:r>
    </w:p>
    <w:p>
      <w:pPr>
        <w:spacing w:line="240" w:lineRule="auto" w:after="0"/>
        <w:ind w:firstLine="709" w:left="0"/>
        <w:jc w:val="both"/>
      </w:pPr>
      <w:r>
        <w:t>На 6 октября 2026 года приказ Минфина РК от 6 августа 2026 года № 533, устанавливающий новую редакцию Типового плана счетов, ещё не применяется: его дата введения — 1 января 2027 года. Поэтому содержание обновлённой веб-страницы нужно читать вместе с примечанием о сроке действия. Для рабочего плана счетов 2026 года выбирают редакцию, действующую в соответствующем периоде.</w:t>
      </w:r>
    </w:p>
    <w:p>
      <w:pPr>
        <w:spacing w:line="240" w:lineRule="auto" w:after="0"/>
        <w:ind w:firstLine="709" w:left="0"/>
        <w:jc w:val="both"/>
      </w:pPr>
      <w:r>
        <w:t>С 2026 года применяется Налоговый кодекс РК от 18 июля 2025 года № 214-VIII с учётом специальных сроков отдельных положений. Налоговые расчёты проверяют по нормам конкретного налогового периода. Учётная прибыль и налогооблагаемый доход не равны автоматически; временные и постоянные различия требуют отдельного анализа.</w:t>
      </w:r>
    </w:p>
    <w:p>
      <w:pPr>
        <w:spacing w:line="240" w:lineRule="auto" w:after="0"/>
        <w:ind w:firstLine="709" w:left="0"/>
        <w:jc w:val="both"/>
      </w:pPr>
      <w:r>
        <w:t>Изменения МСФО также имеют собственные даты применения. IFRS 18 «Представление и раскрытие информации в финансовой отчётности» обязателен для годовых периодов с 1 января 2027 года, при этом допускается досрочное применение. Для отчётности 2026 года нельзя автоматически заменить действующую основу представления будущим стандартом без проверки факта и допустимости досрочного применения.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Информационная база проверки</w:t>
      </w:r>
    </w:p>
    <w:p>
      <w:pPr>
        <w:spacing w:line="240" w:lineRule="auto" w:after="0"/>
        <w:ind w:firstLine="709" w:left="0"/>
        <w:jc w:val="both"/>
      </w:pPr>
      <w:r>
        <w:t>Аудитор использует отчётность и примечания, оборотно-сальдовую ведомость, Главную книгу, аналитические регистры, договоры, первичные документы, банковские сведения, кадровые данные, протоколы органов управления и внешние подтверждения. В цифровой среде к ним добавляются журналы операций, настройки прав доступа, история изменений справочников и результаты автоматизированных контрольных процедур.</w:t>
      </w:r>
    </w:p>
    <w:p>
      <w:pPr>
        <w:spacing w:line="240" w:lineRule="auto" w:after="0"/>
        <w:ind w:firstLine="709" w:left="0"/>
        <w:jc w:val="both"/>
      </w:pPr>
      <w:r>
        <w:t>Каждый источник оценивают по происхождению, назначению и связи с проверяемым утверждением. Договор подтверждает согласованные условия, но не всегда фактическую поставку. Платёж подтверждает движение денег, но не всегда наличие расхода: он может быть авансом. Электронный счёт-фактура содержит налоговые сведения, но сам по себе не решает вопрос передачи контроля над товаром.</w:t>
      </w:r>
    </w:p>
    <w:p>
      <w:pPr>
        <w:spacing w:line="240" w:lineRule="auto" w:after="0"/>
        <w:ind w:firstLine="709" w:left="0"/>
        <w:jc w:val="both"/>
      </w:pPr>
      <w:r>
        <w:t>Схема информационного потока: экономическое событие → первичный документ → аналитический регистр → синтетический учёт → отчётность → примечания. Проверка в прямом направлении помогает исследовать полноту отражения известных событий. Проверка в обратном направлении позволяет обосновать существование и содержание отражённой суммы.</w:t>
      </w:r>
    </w:p>
    <w:p>
      <w:pPr>
        <w:spacing w:line="240" w:lineRule="auto" w:after="0"/>
        <w:ind w:firstLine="709" w:left="0"/>
        <w:jc w:val="both"/>
      </w:pPr>
      <w:r>
        <w:t>Для исследования полноты обязательств аудитор начинает не только с реестра кредиторов. Он проверяет поступления товаров, неоплаченные документы, платежи после отчётной даты и сведения поставщиков. Такой подход позволяет обнаружить событие, которое предприятие не включило в собственный реестр.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Полнота и надёжность электронных данных</w:t>
      </w:r>
    </w:p>
    <w:p>
      <w:pPr>
        <w:spacing w:line="240" w:lineRule="auto" w:after="0"/>
        <w:ind w:firstLine="709" w:left="0"/>
        <w:jc w:val="both"/>
      </w:pPr>
      <w:r>
        <w:t>Выгрузка из ERP должна иметь понятный период, состав полей, источник, условия отбора и контрольные итоги. Аудитор сверяет количество записей и суммы с системой и отчётностью, проверяет исключённые подразделения, статусы документов, отменённые записи и валюты. Если выгружены только оплаченные покупки, такая совокупность непригодна для проверки полноты кредиторской задолженности.</w:t>
      </w:r>
    </w:p>
    <w:p>
      <w:pPr>
        <w:spacing w:line="240" w:lineRule="auto" w:after="0"/>
        <w:ind w:firstLine="709" w:left="0"/>
        <w:jc w:val="both"/>
      </w:pPr>
      <w:r>
        <w:t>Получение файла не означает автоматического доступа к достоверным данным. Сотрудник может изменить таблицу после выгрузки; фильтр может скрывать строки; объединение таблиц может создавать дубликаты. Поэтому сохраняют исходную копию, фиксируют преобразования и проверяют ключевые результаты независимо.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Соблюдение законодательства и профессиональное реагирование</w:t>
      </w:r>
    </w:p>
    <w:p>
      <w:pPr>
        <w:spacing w:line="240" w:lineRule="auto" w:after="0"/>
        <w:ind w:firstLine="709" w:left="0"/>
        <w:jc w:val="both"/>
      </w:pPr>
      <w:r>
        <w:t>МСА 250 требует учитывать законодательство и нормативные акты в пределах цели аудита финансовой отчётности. Одни нормы непосредственно определяют суммы и раскрытия, например налоговые требования; другие влияют на деятельность и последствия нарушения. Аудитор понимает соответствующую среду, выполняет предусмотренные процедуры и оценивает выявленные факты.</w:t>
      </w:r>
    </w:p>
    <w:p>
      <w:pPr>
        <w:spacing w:line="240" w:lineRule="auto" w:after="0"/>
        <w:ind w:firstLine="709" w:left="0"/>
        <w:jc w:val="both"/>
      </w:pPr>
      <w:r>
        <w:t>Если обнаружено возможное нарушение, необходимо выяснить обстоятельства и финансовые последствия, обсудить вопрос на надлежащем уровне управления, рассмотреть необходимость юридической консультации и оценить влияние на отчётность и аудиторское мнение. Сообщение внешним органам зависит от правовых и профессиональных обязанностей, а не от произвольного решения аудитора.</w:t>
      </w:r>
    </w:p>
    <w:p>
      <w:pPr>
        <w:spacing w:line="240" w:lineRule="auto" w:after="0"/>
        <w:ind w:firstLine="709" w:left="0"/>
        <w:jc w:val="both"/>
      </w:pPr>
      <w:r>
        <w:t>Пример: предприятие отражает штраф как спорный и не создаёт резерв. Аудитор изучает требование, переписку и позицию юриста, оценивает вероятность оттока ресурсов и раскрытие. Правовая квалификация нарушения и учётная оценка обязательства связаны, но являются различными вопросами.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связаны законодательство РК, международные стандарты и внутренние методики фирмы?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определить применимую редакцию нормативного акта для конкретного задания?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документы составляют информационную основу аудита?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сведения из одного документа необходимо сопоставлять с другими источниками?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[1], [2], [3], [4], [6], [7], [8], [21].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3. Нормативно правовые и информационные основы аудита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