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2 «Стандарты аудита и профессиональная этика аудиторов»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Назначение профессиональных стандартов</w:t>
      </w:r>
    </w:p>
    <w:p>
      <w:pPr>
        <w:pStyle w:val="ListBullet"/>
        <w:spacing w:line="240" w:lineRule="auto" w:after="0"/>
        <w:ind w:left="709" w:firstLine="0"/>
        <w:jc w:val="left"/>
      </w:pPr>
      <w:r>
        <w:t>Система международных требований</w:t>
      </w:r>
    </w:p>
    <w:p>
      <w:pPr>
        <w:pStyle w:val="ListBullet"/>
        <w:spacing w:line="240" w:lineRule="auto" w:after="0"/>
        <w:ind w:left="709" w:firstLine="0"/>
        <w:jc w:val="left"/>
      </w:pPr>
      <w:r>
        <w:t>Основополагающие принципы этики</w:t>
      </w:r>
    </w:p>
    <w:p>
      <w:pPr>
        <w:pStyle w:val="ListBullet"/>
        <w:spacing w:line="240" w:lineRule="auto" w:after="0"/>
        <w:ind w:left="709" w:firstLine="0"/>
        <w:jc w:val="left"/>
      </w:pPr>
      <w:r>
        <w:t>Угрозы независимости и меры реагирования</w:t>
      </w:r>
    </w:p>
    <w:p>
      <w:pPr>
        <w:pStyle w:val="ListBullet"/>
        <w:spacing w:line="240" w:lineRule="auto" w:after="0"/>
        <w:ind w:left="709" w:firstLine="0"/>
        <w:jc w:val="left"/>
      </w:pPr>
      <w:r>
        <w:t>Профессиональный скептицизм</w:t>
      </w:r>
    </w:p>
    <w:p>
      <w:pPr>
        <w:pStyle w:val="ListBullet"/>
        <w:spacing w:line="240" w:lineRule="auto" w:after="0"/>
        <w:ind w:left="709" w:firstLine="0"/>
        <w:jc w:val="left"/>
      </w:pPr>
      <w:r>
        <w:t>Компетентность, ответственность и современные изменения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Назначение профессиональных стандартов</w:t>
      </w:r>
    </w:p>
    <w:p>
      <w:pPr>
        <w:spacing w:line="240" w:lineRule="auto" w:after="0"/>
        <w:ind w:firstLine="709" w:left="0"/>
        <w:jc w:val="both"/>
      </w:pPr>
      <w:r>
        <w:t>Международные стандарты аудита устанавливают цели аудитора, обязательные требования и пояснения к их применению. Они обеспечивают сопоставимый уровень качества проверки, но не превращают аудит в механическое заполнение анкет. Аудитор связывает требования стандарта с обстоятельствами конкретного клиента, его рисками и применимой концепцией отчётности.</w:t>
      </w:r>
    </w:p>
    <w:p>
      <w:pPr>
        <w:spacing w:line="240" w:lineRule="auto" w:after="0"/>
        <w:ind w:firstLine="709" w:left="0"/>
        <w:jc w:val="both"/>
      </w:pPr>
      <w:r>
        <w:t>Стандарты финансовой отчётности и стандарты аудита решают разные задачи. МСФО устанавливают правила признания, оценки, представления и раскрытия информации. МСА определяют, как независимый аудитор получает доказательства и выражает мнение. Например, оценка запасов осуществляется по применимой учётной основе, а проверка их наличия и состояния организуется с учётом требований к аудиторским доказательствам.</w:t>
      </w:r>
    </w:p>
    <w:p>
      <w:pPr>
        <w:spacing w:line="240" w:lineRule="auto" w:after="0"/>
        <w:ind w:firstLine="709" w:left="0"/>
        <w:jc w:val="both"/>
      </w:pPr>
      <w:r>
        <w:t>Профессиональное суждение — обоснованный выбор решения с учётом знаний, опыта, стандартов и фактов задания. Оно необходимо при определении существенности, выборе процедур, оценке доказательств и формировании мнения. Запись «по профессиональному суждению» без объяснения причин не является достаточным обоснованием.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Система международных требований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Блок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Примеры стандартов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Основной вопрос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Общие обязанности и документация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МСА 200, 210, 220, 230, 240, 250, 260, 265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Как принять и организовать задание, соблюдать обязанности и фиксировать работу?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Риски и ответные действия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МСА 300, 315, 320, 330, 450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Что может быть существенно искажено и как это проверить?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Доказательства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МСА 500–580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Какие процедуры и сведения обеспечат обоснованный вывод?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Использование работы других лиц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МСА 600, 610, 620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Как организовать работу группы, внутреннего аудита и экспертов?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Формирование мнения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МСА 700, 701, 705, 706, 710, 720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Как представить результат и раскрыть существенные обстоятельства?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Управление качеством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ISQM 1, ISQM 2 и МСА 220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Как поддерживать качество фирмы и отдельного задания?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Для конкретного задания проверяют применимость каждого стандарта и даты его действия. Публикация новой редакции не означает, что она обязательна для всех уже начавшихся периодов. Издание IAASB 2026 года содержит как действующие положения, так и стандарты с будущими датами применения. Пересмотренные МСА 240 и МСА 570 применяются к аудитам периодов, начинающихся 15 декабря 2026 года или позднее; при допустимом досрочном применении учитывают условия такого применения.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Основополагающие принципы этики</w:t>
      </w:r>
    </w:p>
    <w:p>
      <w:pPr>
        <w:spacing w:line="240" w:lineRule="auto" w:after="0"/>
        <w:ind w:firstLine="709" w:left="0"/>
        <w:jc w:val="both"/>
      </w:pPr>
      <w:r>
        <w:t>Профессиональная этика регулирует поведение аудитора при наличии давления, конфликта интересов и неопределённости. Основные принципы Кодекса IESBA — честность, объективность, профессиональная компетентность и должная тщательность, конфиденциальность и профессиональное поведение.</w:t>
      </w:r>
    </w:p>
    <w:p>
      <w:pPr>
        <w:spacing w:line="240" w:lineRule="auto" w:after="0"/>
        <w:ind w:firstLine="709" w:left="0"/>
        <w:jc w:val="both"/>
      </w:pPr>
      <w:r>
        <w:t>Честность требует правдивого представления информации и отказа от сознательного участия в вводящих в заблуждение сообщениях. Объективность означает, что предубеждения, конфликт интересов и давление не должны подменять вывод по доказательствам. Компетентность предполагает наличие знаний и постоянное их обновление; тщательность — своевременное и добросовестное выполнение работы.</w:t>
      </w:r>
    </w:p>
    <w:p>
      <w:pPr>
        <w:spacing w:line="240" w:lineRule="auto" w:after="0"/>
        <w:ind w:firstLine="709" w:left="0"/>
        <w:jc w:val="both"/>
      </w:pPr>
      <w:r>
        <w:t>Конфиденциальность охватывает документы, рабочие файлы, персональные данные, пароли и коммерческую информацию. Сведения нельзя использовать в личных интересах. Раскрытие возможно при надлежащем разрешении либо праве или обязанности, установленных применимыми нормами. Поэтому обещание клиенту «никогда никому ничего не сообщать» профессионально некорректно.</w:t>
      </w:r>
    </w:p>
    <w:p>
      <w:pPr>
        <w:spacing w:line="240" w:lineRule="auto" w:after="0"/>
        <w:ind w:firstLine="709" w:left="0"/>
        <w:jc w:val="both"/>
      </w:pPr>
      <w:r>
        <w:t>Профессиональное поведение требует соблюдения законодательства и отказа от действий, дискредитирующих профессию. Например, нельзя обещать немодифицированное мнение до выполнения процедур или размещать рекламу, создающую ложное впечатление гарантированного результата.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Угрозы независимости и меры реагирования</w:t>
      </w:r>
    </w:p>
    <w:p>
      <w:pPr>
        <w:spacing w:line="240" w:lineRule="auto" w:after="0"/>
        <w:ind w:firstLine="709" w:left="0"/>
        <w:jc w:val="both"/>
      </w:pPr>
      <w:r>
        <w:t>Независимость включает независимость мышления и независимость по внешним признакам. В первом случае аудитор способен принимать объективные решения, во втором — разумный информированный наблюдатель не должен видеть обстоятельств, подрывающих доверие к этой объективности.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Угроза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Ситуация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Возможное действие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Личная заинтересованность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Член команды имеет финансовый интерес в клиенте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Устранить запрещённый интерес; оценить необходимость замены участника или отказа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Самопроверка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Фирма проверяет существенную оценку, которую сама подготовила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Проверить законодательный запрет и требования Кодекса; отказаться от несовместимой услуги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Заступничество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Аудитор публично защищает позицию клиента в споре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Оценить влияние роли на независимость и отказаться от несовместимого участия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Близкое знакомство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Длительные личные отношения с финансовым директором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Пересмотреть состав команды, надзор и иные допустимые меры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Давление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Клиент угрожает расторгнуть договор из-за замечаний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Обсудить вопрос на надлежащем уровне, документировать и решить вопрос продолжения задания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Концептуальная основа предполагает выявление угроз, оценку их значимости и принятие мер. Если угроза не может быть снижена до приемлемого уровня, аудитор устраняет обстоятельство, отказывается от услуги или прекращает задание. Наличие внутренней проверки не устраняет прямой законодательный запрет.</w:t>
      </w:r>
    </w:p>
    <w:p>
      <w:pPr>
        <w:spacing w:line="240" w:lineRule="auto" w:after="0"/>
        <w:ind w:firstLine="709" w:left="0"/>
        <w:jc w:val="both"/>
      </w:pPr>
      <w:r>
        <w:t>В Казахстане ограничения на проведение аудита установлены, в частности, статьёй 24 Закона «Об аудиторской деятельности». При принятии задания нужно учитывать запреты, связанные с имущественными интересами, родственными связями и ранее оказанными определёнными услугами. Проверку независимости проводят до заключения договора и продолжают в течение задания.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Профессиональный скептицизм</w:t>
      </w:r>
    </w:p>
    <w:p>
      <w:pPr>
        <w:spacing w:line="240" w:lineRule="auto" w:after="0"/>
        <w:ind w:firstLine="709" w:left="0"/>
        <w:jc w:val="both"/>
      </w:pPr>
      <w:r>
        <w:t>Профессиональный скептицизм — критическая оценка доказательств и внимание к обстоятельствам, указывающим на возможные искажения. Он не равен недоверию ко всем сотрудникам. Аудитор не предполагает автоматически нечестность руководства, но не удовлетворяется объяснением, если оно противоречит документам или экономической логике.</w:t>
      </w:r>
    </w:p>
    <w:p>
      <w:pPr>
        <w:spacing w:line="240" w:lineRule="auto" w:after="0"/>
        <w:ind w:firstLine="709" w:left="0"/>
        <w:jc w:val="both"/>
      </w:pPr>
      <w:r>
        <w:t>Пример: руководитель объясняет рост выручки «новыми клиентами», но число отгрузок уменьшилось. Аудитор анализирует цены, договоры, возвраты, кредитовые документы и операции в конце периода. Если выручка создана ручными проводками без поставки, требуется исследование конкретных операций и возможного обхода контроля руководством.</w:t>
      </w:r>
    </w:p>
    <w:p>
      <w:pPr>
        <w:spacing w:line="240" w:lineRule="auto" w:after="0"/>
        <w:ind w:firstLine="709" w:left="0"/>
        <w:jc w:val="both"/>
      </w:pPr>
      <w:r>
        <w:t>Подтверждение одним источником не снимает противоречия с другим. Профессиональный ответ состоит в выяснении причины и получении дополнительных доказательств. Итоговая запись должна показывать исходный риск, выполненные действия, полученные сведения и основание вывода.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Компетентность, ответственность и современные изменения</w:t>
      </w:r>
    </w:p>
    <w:p>
      <w:pPr>
        <w:spacing w:line="240" w:lineRule="auto" w:after="0"/>
        <w:ind w:firstLine="709" w:left="0"/>
        <w:jc w:val="both"/>
      </w:pPr>
      <w:r>
        <w:t>Команда должна обладать знаниями отрасли, отчётности, законодательства и информационных технологий. Для сложной оценки можно привлечь эксперта, но аудитор оценивает его компетентность, возможности и объективность, согласует работу и оценивает её пригодность для своей цели.</w:t>
      </w:r>
    </w:p>
    <w:p>
      <w:pPr>
        <w:spacing w:line="240" w:lineRule="auto" w:after="0"/>
        <w:ind w:firstLine="709" w:left="0"/>
        <w:jc w:val="both"/>
      </w:pPr>
      <w:r>
        <w:t>Кодекс IESBA 2026 года включает новые положения об использовании внешних экспертов и устойчивости с датами применения в декабре 2026 года. Они рассматриваются как предстоящие изменения, а не автоматически как обязательные для каждого задания на 6 октября 2026 года. При аудите финансовой отчётности актуальны также конфиденциальность цифровых данных, независимость при технологических услугах и оценка качества результатов автоматизированных инструментов.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стандарты связывают планирование, доказательства и аудиторское мнение?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угрозы независимости возникают при финансовой заинтересованности и самопроверке?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конфиденциальность не освобождает аудитора от установленных законом обязанностей?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профессиональный скептицизм применяется к объяснениям руководства клиента?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[1], [3], [4], [11], [12].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2. Стандарты аудита и профессиональная этика аудиторов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