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8AB92" w14:textId="77777777" w:rsidR="0061324F" w:rsidRDefault="00000000">
      <w:pPr>
        <w:pStyle w:val="aa"/>
      </w:pPr>
      <w:r>
        <w:t>Структура аналитического текста: заголовки, логика изложения и резюме</w:t>
      </w:r>
    </w:p>
    <w:p w14:paraId="7D405920" w14:textId="77777777" w:rsidR="0061324F" w:rsidRDefault="00000000">
      <w:pPr>
        <w:pStyle w:val="1"/>
      </w:pPr>
      <w:r>
        <w:t>1. Доказательный план вместо перечня тем</w:t>
      </w:r>
    </w:p>
    <w:p w14:paraId="28A81DAF" w14:textId="77777777" w:rsidR="0061324F" w:rsidRDefault="00000000">
      <w:r>
        <w:t>Обычный план «введение — анализ — выводы» слишком общ, чтобы проверить логику. Доказательный план содержит конкретные вопросы или ограниченные тезисы разделов. Каждый тезис должен иметь основание и объяснять, зачем читателю следующий раздел.</w:t>
      </w:r>
    </w:p>
    <w:p w14:paraId="5487931F" w14:textId="77777777" w:rsidR="0061324F" w:rsidRDefault="00000000">
      <w:r>
        <w:t>Для «Линии знаний» возможна такая последовательность: завершения растут медленнее заявок; состав каналов изменился; причины неявки пока не измерены; сначала нужен ограниченный пилот сопровождения. В этом плане видна разница между установленным, предполагаемым и рекомендательным.</w:t>
      </w:r>
    </w:p>
    <w:p w14:paraId="5B58F0EF" w14:textId="77777777" w:rsidR="0048743B" w:rsidRDefault="0048743B"/>
    <w:tbl>
      <w:tblPr>
        <w:tblW w:w="0" w:type="auto"/>
        <w:jc w:val="center"/>
        <w:tblLayout w:type="fixed"/>
        <w:tblLook w:val="04A0" w:firstRow="1" w:lastRow="0" w:firstColumn="1" w:lastColumn="0" w:noHBand="0" w:noVBand="1"/>
      </w:tblPr>
      <w:tblGrid>
        <w:gridCol w:w="2891"/>
        <w:gridCol w:w="6746"/>
      </w:tblGrid>
      <w:tr w:rsidR="0061324F" w14:paraId="396D409A" w14:textId="77777777">
        <w:trPr>
          <w:cantSplit/>
          <w:tblHeader/>
          <w:jc w:val="center"/>
        </w:trPr>
        <w:tc>
          <w:tcPr>
            <w:tcW w:w="2891" w:type="dxa"/>
            <w:shd w:val="clear" w:color="auto" w:fill="173B50"/>
            <w:tcMar>
              <w:top w:w="65" w:type="dxa"/>
              <w:left w:w="85" w:type="dxa"/>
              <w:bottom w:w="65" w:type="dxa"/>
              <w:right w:w="85" w:type="dxa"/>
            </w:tcMar>
            <w:vAlign w:val="center"/>
          </w:tcPr>
          <w:p w14:paraId="7023F037" w14:textId="77777777" w:rsidR="0061324F" w:rsidRDefault="00000000">
            <w:pPr>
              <w:pStyle w:val="TableBody"/>
            </w:pPr>
            <w:r>
              <w:rPr>
                <w:b/>
                <w:color w:val="FFFFFF"/>
              </w:rPr>
              <w:t>Уровень чтения</w:t>
            </w:r>
          </w:p>
        </w:tc>
        <w:tc>
          <w:tcPr>
            <w:tcW w:w="6746" w:type="dxa"/>
            <w:shd w:val="clear" w:color="auto" w:fill="173B50"/>
            <w:tcMar>
              <w:top w:w="65" w:type="dxa"/>
              <w:left w:w="85" w:type="dxa"/>
              <w:bottom w:w="65" w:type="dxa"/>
              <w:right w:w="85" w:type="dxa"/>
            </w:tcMar>
            <w:vAlign w:val="center"/>
          </w:tcPr>
          <w:p w14:paraId="2DC353A9" w14:textId="77777777" w:rsidR="0061324F" w:rsidRDefault="00000000">
            <w:pPr>
              <w:pStyle w:val="TableBody"/>
            </w:pPr>
            <w:r>
              <w:rPr>
                <w:b/>
                <w:color w:val="FFFFFF"/>
              </w:rPr>
              <w:t>Что должно быть понятно</w:t>
            </w:r>
          </w:p>
        </w:tc>
      </w:tr>
      <w:tr w:rsidR="0061324F" w14:paraId="3C78ABA6" w14:textId="77777777">
        <w:trPr>
          <w:cantSplit/>
          <w:jc w:val="center"/>
        </w:trPr>
        <w:tc>
          <w:tcPr>
            <w:tcW w:w="2891" w:type="dxa"/>
            <w:shd w:val="clear" w:color="auto" w:fill="F0F5F7"/>
            <w:tcMar>
              <w:top w:w="65" w:type="dxa"/>
              <w:left w:w="85" w:type="dxa"/>
              <w:bottom w:w="65" w:type="dxa"/>
              <w:right w:w="85" w:type="dxa"/>
            </w:tcMar>
            <w:vAlign w:val="center"/>
          </w:tcPr>
          <w:p w14:paraId="2F54355A" w14:textId="77777777" w:rsidR="0061324F" w:rsidRDefault="00000000">
            <w:pPr>
              <w:pStyle w:val="TableBody"/>
            </w:pPr>
            <w:r>
              <w:t>Заголовок и резюме</w:t>
            </w:r>
          </w:p>
        </w:tc>
        <w:tc>
          <w:tcPr>
            <w:tcW w:w="6746" w:type="dxa"/>
            <w:shd w:val="clear" w:color="auto" w:fill="F0F5F7"/>
            <w:tcMar>
              <w:top w:w="65" w:type="dxa"/>
              <w:left w:w="85" w:type="dxa"/>
              <w:bottom w:w="65" w:type="dxa"/>
              <w:right w:w="85" w:type="dxa"/>
            </w:tcMar>
            <w:vAlign w:val="center"/>
          </w:tcPr>
          <w:p w14:paraId="4C8F9CA1" w14:textId="77777777" w:rsidR="0061324F" w:rsidRDefault="00000000">
            <w:pPr>
              <w:pStyle w:val="TableBody"/>
            </w:pPr>
            <w:r>
              <w:t>Главный ответ и существенное ограничение</w:t>
            </w:r>
          </w:p>
        </w:tc>
      </w:tr>
      <w:tr w:rsidR="0061324F" w14:paraId="37E059A3" w14:textId="77777777">
        <w:trPr>
          <w:cantSplit/>
          <w:jc w:val="center"/>
        </w:trPr>
        <w:tc>
          <w:tcPr>
            <w:tcW w:w="2891" w:type="dxa"/>
            <w:shd w:val="clear" w:color="auto" w:fill="FFFFFF"/>
            <w:tcMar>
              <w:top w:w="65" w:type="dxa"/>
              <w:left w:w="85" w:type="dxa"/>
              <w:bottom w:w="65" w:type="dxa"/>
              <w:right w:w="85" w:type="dxa"/>
            </w:tcMar>
            <w:vAlign w:val="center"/>
          </w:tcPr>
          <w:p w14:paraId="7C5DCD01" w14:textId="77777777" w:rsidR="0061324F" w:rsidRDefault="00000000">
            <w:pPr>
              <w:pStyle w:val="TableBody"/>
            </w:pPr>
            <w:r>
              <w:t>Первые предложения разделов</w:t>
            </w:r>
          </w:p>
        </w:tc>
        <w:tc>
          <w:tcPr>
            <w:tcW w:w="6746" w:type="dxa"/>
            <w:shd w:val="clear" w:color="auto" w:fill="FFFFFF"/>
            <w:tcMar>
              <w:top w:w="65" w:type="dxa"/>
              <w:left w:w="85" w:type="dxa"/>
              <w:bottom w:w="65" w:type="dxa"/>
              <w:right w:w="85" w:type="dxa"/>
            </w:tcMar>
            <w:vAlign w:val="center"/>
          </w:tcPr>
          <w:p w14:paraId="358E8711" w14:textId="77777777" w:rsidR="0061324F" w:rsidRDefault="00000000">
            <w:pPr>
              <w:pStyle w:val="TableBody"/>
            </w:pPr>
            <w:r>
              <w:t>Логика аргумента и переходы</w:t>
            </w:r>
          </w:p>
        </w:tc>
      </w:tr>
      <w:tr w:rsidR="0061324F" w14:paraId="1724D16B" w14:textId="77777777">
        <w:trPr>
          <w:cantSplit/>
          <w:jc w:val="center"/>
        </w:trPr>
        <w:tc>
          <w:tcPr>
            <w:tcW w:w="2891" w:type="dxa"/>
            <w:shd w:val="clear" w:color="auto" w:fill="F0F5F7"/>
            <w:tcMar>
              <w:top w:w="65" w:type="dxa"/>
              <w:left w:w="85" w:type="dxa"/>
              <w:bottom w:w="65" w:type="dxa"/>
              <w:right w:w="85" w:type="dxa"/>
            </w:tcMar>
            <w:vAlign w:val="center"/>
          </w:tcPr>
          <w:p w14:paraId="34DBA07A" w14:textId="77777777" w:rsidR="0061324F" w:rsidRDefault="00000000">
            <w:pPr>
              <w:pStyle w:val="TableBody"/>
            </w:pPr>
            <w:r>
              <w:t>Основной текст</w:t>
            </w:r>
          </w:p>
        </w:tc>
        <w:tc>
          <w:tcPr>
            <w:tcW w:w="6746" w:type="dxa"/>
            <w:shd w:val="clear" w:color="auto" w:fill="F0F5F7"/>
            <w:tcMar>
              <w:top w:w="65" w:type="dxa"/>
              <w:left w:w="85" w:type="dxa"/>
              <w:bottom w:w="65" w:type="dxa"/>
              <w:right w:w="85" w:type="dxa"/>
            </w:tcMar>
            <w:vAlign w:val="center"/>
          </w:tcPr>
          <w:p w14:paraId="68A82F20" w14:textId="77777777" w:rsidR="0061324F" w:rsidRDefault="00000000">
            <w:pPr>
              <w:pStyle w:val="TableBody"/>
            </w:pPr>
            <w:r>
              <w:t>Свидетельства, расчеты и альтернативы</w:t>
            </w:r>
          </w:p>
        </w:tc>
      </w:tr>
      <w:tr w:rsidR="0061324F" w14:paraId="625B2198" w14:textId="77777777">
        <w:trPr>
          <w:cantSplit/>
          <w:jc w:val="center"/>
        </w:trPr>
        <w:tc>
          <w:tcPr>
            <w:tcW w:w="2891" w:type="dxa"/>
            <w:shd w:val="clear" w:color="auto" w:fill="FFFFFF"/>
            <w:tcMar>
              <w:top w:w="65" w:type="dxa"/>
              <w:left w:w="85" w:type="dxa"/>
              <w:bottom w:w="65" w:type="dxa"/>
              <w:right w:w="85" w:type="dxa"/>
            </w:tcMar>
            <w:vAlign w:val="center"/>
          </w:tcPr>
          <w:p w14:paraId="7A82B3D5" w14:textId="77777777" w:rsidR="0061324F" w:rsidRDefault="00000000">
            <w:pPr>
              <w:pStyle w:val="TableBody"/>
            </w:pPr>
            <w:r>
              <w:t>Приложения</w:t>
            </w:r>
          </w:p>
        </w:tc>
        <w:tc>
          <w:tcPr>
            <w:tcW w:w="6746" w:type="dxa"/>
            <w:shd w:val="clear" w:color="auto" w:fill="FFFFFF"/>
            <w:tcMar>
              <w:top w:w="65" w:type="dxa"/>
              <w:left w:w="85" w:type="dxa"/>
              <w:bottom w:w="65" w:type="dxa"/>
              <w:right w:w="85" w:type="dxa"/>
            </w:tcMar>
            <w:vAlign w:val="center"/>
          </w:tcPr>
          <w:p w14:paraId="0339FAE7" w14:textId="77777777" w:rsidR="0061324F" w:rsidRDefault="00000000">
            <w:pPr>
              <w:pStyle w:val="TableBody"/>
            </w:pPr>
            <w:r>
              <w:t>Возможность воспроизвести метод и детали</w:t>
            </w:r>
          </w:p>
        </w:tc>
      </w:tr>
    </w:tbl>
    <w:p w14:paraId="5D24AE78" w14:textId="77777777" w:rsidR="0061324F" w:rsidRDefault="0061324F">
      <w:pPr>
        <w:spacing w:after="0" w:line="60" w:lineRule="exact"/>
      </w:pPr>
    </w:p>
    <w:p w14:paraId="29F73C32" w14:textId="77777777" w:rsidR="0048743B" w:rsidRDefault="0048743B">
      <w:pPr>
        <w:pStyle w:val="21"/>
      </w:pPr>
    </w:p>
    <w:p w14:paraId="634611CD" w14:textId="7E1FEDEB" w:rsidR="0061324F" w:rsidRDefault="00000000">
      <w:pPr>
        <w:pStyle w:val="21"/>
      </w:pPr>
      <w:r>
        <w:t>Тезисный заголовок</w:t>
      </w:r>
    </w:p>
    <w:p w14:paraId="1225C802" w14:textId="77777777" w:rsidR="0061324F" w:rsidRDefault="00000000">
      <w:r>
        <w:t>«Динамика показателей» обозначает тему. «Заявки выросли быстрее завершений» сообщает ограниченный результат. «Реклама привела некачественных клиентов» добавляет неподтвержденную причину. Заголовок должен быть содержательным, но не сильнее основания.</w:t>
      </w:r>
    </w:p>
    <w:p w14:paraId="4E76A2BB" w14:textId="77777777" w:rsidR="0061324F" w:rsidRDefault="00000000">
      <w:r>
        <w:t>Не превращайте все заголовки в длинные предложения. Важнее, чтобы по ним можно было восстановить ход ответа. Соседние разделы не должны повторять друг друга под разными названиями. Если материал не поддерживает ни один тезис плана, его нужно переосмыслить, вынести в приложение или исключить.</w:t>
      </w:r>
    </w:p>
    <w:p w14:paraId="384DCE01" w14:textId="77777777" w:rsidR="0061324F" w:rsidRDefault="00000000">
      <w:pPr>
        <w:pStyle w:val="21"/>
      </w:pPr>
      <w:r>
        <w:t>Проверка связности</w:t>
      </w:r>
    </w:p>
    <w:p w14:paraId="1BE4CFB0" w14:textId="77777777" w:rsidR="0061324F" w:rsidRDefault="00000000">
      <w:r>
        <w:t>Прочитайте только заголовки и первые предложения. Если переход непонятен, добавление еще одной таблицы не решит проблему. Объясните, какую часть вопроса закрывает каждый раздел и почему его вывод требует следующего шага. Это самостоятельная аналитическая работа, а не косметическая редактура.</w:t>
      </w:r>
    </w:p>
    <w:p w14:paraId="340045D1" w14:textId="77777777" w:rsidR="0061324F" w:rsidRDefault="00000000">
      <w:r>
        <w:br w:type="page"/>
      </w:r>
    </w:p>
    <w:p w14:paraId="09832338" w14:textId="77777777" w:rsidR="0061324F" w:rsidRDefault="00000000">
      <w:pPr>
        <w:pStyle w:val="1"/>
      </w:pPr>
      <w:r>
        <w:lastRenderedPageBreak/>
        <w:t>2. Доказательный абзац и точный язык</w:t>
      </w:r>
    </w:p>
    <w:p w14:paraId="06EAC8FB" w14:textId="77777777" w:rsidR="0061324F" w:rsidRDefault="00000000">
      <w:r>
        <w:t>Рабочая структура абзаца: тезис, опора, интерпретация и ограничение либо переход. Не каждый абзац обязан механически содержать четыре предложения, но читатель должен понимать, какая мысль обсуждается и на чем она основана.</w:t>
      </w:r>
    </w:p>
    <w:p w14:paraId="782CEA0C" w14:textId="77777777" w:rsidR="0061324F" w:rsidRDefault="00000000">
      <w:pPr>
        <w:pStyle w:val="21"/>
      </w:pPr>
      <w:r>
        <w:t>Образец по учебным данным</w:t>
      </w:r>
    </w:p>
    <w:p w14:paraId="6E1BB648" w14:textId="77777777" w:rsidR="0061324F" w:rsidRDefault="00000000">
      <w:r>
        <w:t>«Расходы на привлечение растут быстрее числа завершений. В периоде А на 72 завершения пришлось 120 000 тенге, в периоде Б — 180 000 тенге на 75. Отношение расходов к одному завершению увеличилось примерно с 1 667 до 2 400 тенге. Это сигнал для проверки состава потока и переходов, а не самостоятельное доказательство причинного ухудшения рекламы».</w:t>
      </w:r>
    </w:p>
    <w:p w14:paraId="382CE5F6" w14:textId="77777777" w:rsidR="0061324F" w:rsidRDefault="00000000">
      <w:r>
        <w:t>Таблица подтверждает числа, а абзац объясняет их смысл. Он не повторяет все строки, не скрывает единицу и не называет частичный расчет чистой прибылью. Ограничение относится именно к причинному выводу.</w:t>
      </w:r>
    </w:p>
    <w:p w14:paraId="315EB4E7" w14:textId="77777777" w:rsidR="0048743B" w:rsidRDefault="0048743B"/>
    <w:tbl>
      <w:tblPr>
        <w:tblW w:w="0" w:type="auto"/>
        <w:jc w:val="center"/>
        <w:tblLayout w:type="fixed"/>
        <w:tblLook w:val="04A0" w:firstRow="1" w:lastRow="0" w:firstColumn="1" w:lastColumn="0" w:noHBand="0" w:noVBand="1"/>
      </w:tblPr>
      <w:tblGrid>
        <w:gridCol w:w="2891"/>
        <w:gridCol w:w="6746"/>
      </w:tblGrid>
      <w:tr w:rsidR="0061324F" w14:paraId="5D2608CC" w14:textId="77777777">
        <w:trPr>
          <w:cantSplit/>
          <w:tblHeader/>
          <w:jc w:val="center"/>
        </w:trPr>
        <w:tc>
          <w:tcPr>
            <w:tcW w:w="2891" w:type="dxa"/>
            <w:shd w:val="clear" w:color="auto" w:fill="173B50"/>
            <w:tcMar>
              <w:top w:w="65" w:type="dxa"/>
              <w:left w:w="85" w:type="dxa"/>
              <w:bottom w:w="65" w:type="dxa"/>
              <w:right w:w="85" w:type="dxa"/>
            </w:tcMar>
            <w:vAlign w:val="center"/>
          </w:tcPr>
          <w:p w14:paraId="2D7EE74F" w14:textId="77777777" w:rsidR="0061324F" w:rsidRDefault="00000000">
            <w:pPr>
              <w:pStyle w:val="TableBody"/>
            </w:pPr>
            <w:r>
              <w:rPr>
                <w:b/>
                <w:color w:val="FFFFFF"/>
              </w:rPr>
              <w:t>Неясная конструкция</w:t>
            </w:r>
          </w:p>
        </w:tc>
        <w:tc>
          <w:tcPr>
            <w:tcW w:w="6746" w:type="dxa"/>
            <w:shd w:val="clear" w:color="auto" w:fill="173B50"/>
            <w:tcMar>
              <w:top w:w="65" w:type="dxa"/>
              <w:left w:w="85" w:type="dxa"/>
              <w:bottom w:w="65" w:type="dxa"/>
              <w:right w:w="85" w:type="dxa"/>
            </w:tcMar>
            <w:vAlign w:val="center"/>
          </w:tcPr>
          <w:p w14:paraId="787C8C79" w14:textId="77777777" w:rsidR="0061324F" w:rsidRDefault="00000000">
            <w:pPr>
              <w:pStyle w:val="TableBody"/>
            </w:pPr>
            <w:r>
              <w:rPr>
                <w:b/>
                <w:color w:val="FFFFFF"/>
              </w:rPr>
              <w:t>Более точная запись</w:t>
            </w:r>
          </w:p>
        </w:tc>
      </w:tr>
      <w:tr w:rsidR="0061324F" w14:paraId="00E12117" w14:textId="77777777">
        <w:trPr>
          <w:cantSplit/>
          <w:jc w:val="center"/>
        </w:trPr>
        <w:tc>
          <w:tcPr>
            <w:tcW w:w="2891" w:type="dxa"/>
            <w:shd w:val="clear" w:color="auto" w:fill="F0F5F7"/>
            <w:tcMar>
              <w:top w:w="65" w:type="dxa"/>
              <w:left w:w="85" w:type="dxa"/>
              <w:bottom w:w="65" w:type="dxa"/>
              <w:right w:w="85" w:type="dxa"/>
            </w:tcMar>
            <w:vAlign w:val="center"/>
          </w:tcPr>
          <w:p w14:paraId="172C6A48" w14:textId="77777777" w:rsidR="0061324F" w:rsidRDefault="00000000">
            <w:pPr>
              <w:pStyle w:val="TableBody"/>
            </w:pPr>
            <w:r>
              <w:t>Было осуществлено проведение анализа</w:t>
            </w:r>
          </w:p>
        </w:tc>
        <w:tc>
          <w:tcPr>
            <w:tcW w:w="6746" w:type="dxa"/>
            <w:shd w:val="clear" w:color="auto" w:fill="F0F5F7"/>
            <w:tcMar>
              <w:top w:w="65" w:type="dxa"/>
              <w:left w:w="85" w:type="dxa"/>
              <w:bottom w:w="65" w:type="dxa"/>
              <w:right w:w="85" w:type="dxa"/>
            </w:tcMar>
            <w:vAlign w:val="center"/>
          </w:tcPr>
          <w:p w14:paraId="1DF5FC6A" w14:textId="77777777" w:rsidR="0061324F" w:rsidRDefault="00000000">
            <w:pPr>
              <w:pStyle w:val="TableBody"/>
            </w:pPr>
            <w:r>
              <w:t>Мы сопоставили два периода</w:t>
            </w:r>
          </w:p>
        </w:tc>
      </w:tr>
      <w:tr w:rsidR="0061324F" w14:paraId="68400E8D" w14:textId="77777777">
        <w:trPr>
          <w:cantSplit/>
          <w:jc w:val="center"/>
        </w:trPr>
        <w:tc>
          <w:tcPr>
            <w:tcW w:w="2891" w:type="dxa"/>
            <w:shd w:val="clear" w:color="auto" w:fill="FFFFFF"/>
            <w:tcMar>
              <w:top w:w="65" w:type="dxa"/>
              <w:left w:w="85" w:type="dxa"/>
              <w:bottom w:w="65" w:type="dxa"/>
              <w:right w:w="85" w:type="dxa"/>
            </w:tcMar>
            <w:vAlign w:val="center"/>
          </w:tcPr>
          <w:p w14:paraId="57BF13C5" w14:textId="77777777" w:rsidR="0061324F" w:rsidRDefault="00000000">
            <w:pPr>
              <w:pStyle w:val="TableBody"/>
            </w:pPr>
            <w:r>
              <w:t>Показатель существенно улучшился</w:t>
            </w:r>
          </w:p>
        </w:tc>
        <w:tc>
          <w:tcPr>
            <w:tcW w:w="6746" w:type="dxa"/>
            <w:shd w:val="clear" w:color="auto" w:fill="FFFFFF"/>
            <w:tcMar>
              <w:top w:w="65" w:type="dxa"/>
              <w:left w:w="85" w:type="dxa"/>
              <w:bottom w:w="65" w:type="dxa"/>
              <w:right w:w="85" w:type="dxa"/>
            </w:tcMar>
            <w:vAlign w:val="center"/>
          </w:tcPr>
          <w:p w14:paraId="5866510C" w14:textId="77777777" w:rsidR="0061324F" w:rsidRDefault="00000000">
            <w:pPr>
              <w:pStyle w:val="TableBody"/>
            </w:pPr>
            <w:r>
              <w:t>Доля выросла с 12% до 15%</w:t>
            </w:r>
          </w:p>
        </w:tc>
      </w:tr>
      <w:tr w:rsidR="0061324F" w14:paraId="58FB0719" w14:textId="77777777">
        <w:trPr>
          <w:cantSplit/>
          <w:jc w:val="center"/>
        </w:trPr>
        <w:tc>
          <w:tcPr>
            <w:tcW w:w="2891" w:type="dxa"/>
            <w:shd w:val="clear" w:color="auto" w:fill="F0F5F7"/>
            <w:tcMar>
              <w:top w:w="65" w:type="dxa"/>
              <w:left w:w="85" w:type="dxa"/>
              <w:bottom w:w="65" w:type="dxa"/>
              <w:right w:w="85" w:type="dxa"/>
            </w:tcMar>
            <w:vAlign w:val="center"/>
          </w:tcPr>
          <w:p w14:paraId="7C7B2537" w14:textId="77777777" w:rsidR="0061324F" w:rsidRDefault="00000000">
            <w:pPr>
              <w:pStyle w:val="TableBody"/>
            </w:pPr>
            <w:r>
              <w:t>Это обусловлено рядом факторов</w:t>
            </w:r>
          </w:p>
        </w:tc>
        <w:tc>
          <w:tcPr>
            <w:tcW w:w="6746" w:type="dxa"/>
            <w:shd w:val="clear" w:color="auto" w:fill="F0F5F7"/>
            <w:tcMar>
              <w:top w:w="65" w:type="dxa"/>
              <w:left w:w="85" w:type="dxa"/>
              <w:bottom w:w="65" w:type="dxa"/>
              <w:right w:w="85" w:type="dxa"/>
            </w:tcMar>
            <w:vAlign w:val="center"/>
          </w:tcPr>
          <w:p w14:paraId="1B4FA1B3" w14:textId="77777777" w:rsidR="0061324F" w:rsidRDefault="00000000">
            <w:pPr>
              <w:pStyle w:val="TableBody"/>
            </w:pPr>
            <w:r>
              <w:t>Проверяем три возможных объяснения</w:t>
            </w:r>
          </w:p>
        </w:tc>
      </w:tr>
      <w:tr w:rsidR="0061324F" w14:paraId="3B731EDA" w14:textId="77777777">
        <w:trPr>
          <w:cantSplit/>
          <w:jc w:val="center"/>
        </w:trPr>
        <w:tc>
          <w:tcPr>
            <w:tcW w:w="2891" w:type="dxa"/>
            <w:shd w:val="clear" w:color="auto" w:fill="FFFFFF"/>
            <w:tcMar>
              <w:top w:w="65" w:type="dxa"/>
              <w:left w:w="85" w:type="dxa"/>
              <w:bottom w:w="65" w:type="dxa"/>
              <w:right w:w="85" w:type="dxa"/>
            </w:tcMar>
            <w:vAlign w:val="center"/>
          </w:tcPr>
          <w:p w14:paraId="314C3754" w14:textId="77777777" w:rsidR="0061324F" w:rsidRDefault="00000000">
            <w:pPr>
              <w:pStyle w:val="TableBody"/>
            </w:pPr>
            <w:r>
              <w:t>Полученные результаты свидетельствуют обо всем</w:t>
            </w:r>
          </w:p>
        </w:tc>
        <w:tc>
          <w:tcPr>
            <w:tcW w:w="6746" w:type="dxa"/>
            <w:shd w:val="clear" w:color="auto" w:fill="FFFFFF"/>
            <w:tcMar>
              <w:top w:w="65" w:type="dxa"/>
              <w:left w:w="85" w:type="dxa"/>
              <w:bottom w:w="65" w:type="dxa"/>
              <w:right w:w="85" w:type="dxa"/>
            </w:tcMar>
            <w:vAlign w:val="center"/>
          </w:tcPr>
          <w:p w14:paraId="53F364E9" w14:textId="77777777" w:rsidR="0061324F" w:rsidRDefault="00000000">
            <w:pPr>
              <w:pStyle w:val="TableBody"/>
            </w:pPr>
            <w:r>
              <w:t>Результат относится к выбранным группам</w:t>
            </w:r>
          </w:p>
        </w:tc>
      </w:tr>
    </w:tbl>
    <w:p w14:paraId="4A7373BA" w14:textId="77777777" w:rsidR="0061324F" w:rsidRDefault="0061324F">
      <w:pPr>
        <w:spacing w:after="0" w:line="60" w:lineRule="exact"/>
      </w:pPr>
    </w:p>
    <w:p w14:paraId="00EFB78D" w14:textId="77777777" w:rsidR="0048743B" w:rsidRDefault="0048743B">
      <w:pPr>
        <w:pStyle w:val="21"/>
      </w:pPr>
    </w:p>
    <w:p w14:paraId="4A2B7AF0" w14:textId="194ED936" w:rsidR="0061324F" w:rsidRDefault="00000000">
      <w:pPr>
        <w:pStyle w:val="21"/>
      </w:pPr>
      <w:r>
        <w:t>Редакционная точность</w:t>
      </w:r>
    </w:p>
    <w:p w14:paraId="01183743" w14:textId="77777777" w:rsidR="0061324F" w:rsidRDefault="00000000">
      <w:r>
        <w:t>Местоимение «это» должно иметь понятный предмет. Слова «значительный», «эффективный» и «оптимальный» требуют критерия. Если статистическая значимость не проверялась, слово «значимый» лучше заменить конкретной величиной или оценкой практической важности.</w:t>
      </w:r>
    </w:p>
    <w:p w14:paraId="190CB24D" w14:textId="77777777" w:rsidR="0061324F" w:rsidRDefault="00000000">
      <w:r>
        <w:t>Не перегружайте предложение цепочкой существительных. «Оценка реализации повышения эффективности взаимодействия» скрывает действие. Можно написать: «Мы проверяем, стало ли участнику проще изменить дату». Простота формулировки не уменьшает академичность, если сохранены определения и основания.</w:t>
      </w:r>
    </w:p>
    <w:p w14:paraId="1720E6DA" w14:textId="77777777" w:rsidR="0061324F" w:rsidRDefault="00000000">
      <w:r>
        <w:br w:type="page"/>
      </w:r>
    </w:p>
    <w:p w14:paraId="644504FC" w14:textId="77777777" w:rsidR="0061324F" w:rsidRDefault="00000000">
      <w:pPr>
        <w:pStyle w:val="1"/>
      </w:pPr>
      <w:r>
        <w:lastRenderedPageBreak/>
        <w:t>3. Реальный кейс: структура отчета NAO о HS2</w:t>
      </w:r>
    </w:p>
    <w:p w14:paraId="46DD1A31" w14:textId="77777777" w:rsidR="0061324F" w:rsidRDefault="00000000">
      <w:r>
        <w:t>Отчет NAO от 23 июля 2024 года посвящен ответу на отмену второй фазы HS2 [1]. В нем задан изменившийся контекст проекта, рассмотрены действия участников и оставшиеся задачи пересмотра программы. Содержание не ограничивается перечнем проблем: оно связывает состояние проекта с необходимостью уточнить стоимость, выгоды и управление. Это историческая оценка на дату публикации, а не текущий статус проекта.</w:t>
      </w:r>
    </w:p>
    <w:p w14:paraId="2B42957B" w14:textId="77777777" w:rsidR="0061324F" w:rsidRDefault="00000000">
      <w:pPr>
        <w:pStyle w:val="21"/>
      </w:pPr>
      <w:r>
        <w:t>Что можно перенести в письменную работу</w:t>
      </w:r>
    </w:p>
    <w:p w14:paraId="346D54B2" w14:textId="77777777" w:rsidR="0061324F" w:rsidRDefault="00000000">
      <w:r>
        <w:t>Полезен принцип связи контекста, установленного состояния и требуемого решения. Если цель проекта изменилась, прежняя структура оценки выгод уже не может автоматически считаться достаточной. Читатель должен увидеть, какая исходная рамка перестала работать и что необходимо пересмотреть.</w:t>
      </w:r>
    </w:p>
    <w:p w14:paraId="392A6F7F" w14:textId="77777777" w:rsidR="0048743B" w:rsidRDefault="0048743B"/>
    <w:tbl>
      <w:tblPr>
        <w:tblW w:w="0" w:type="auto"/>
        <w:jc w:val="center"/>
        <w:tblLayout w:type="fixed"/>
        <w:tblLook w:val="04A0" w:firstRow="1" w:lastRow="0" w:firstColumn="1" w:lastColumn="0" w:noHBand="0" w:noVBand="1"/>
      </w:tblPr>
      <w:tblGrid>
        <w:gridCol w:w="2891"/>
        <w:gridCol w:w="6746"/>
      </w:tblGrid>
      <w:tr w:rsidR="0061324F" w14:paraId="0353E2DA" w14:textId="77777777">
        <w:trPr>
          <w:cantSplit/>
          <w:tblHeader/>
          <w:jc w:val="center"/>
        </w:trPr>
        <w:tc>
          <w:tcPr>
            <w:tcW w:w="2891" w:type="dxa"/>
            <w:shd w:val="clear" w:color="auto" w:fill="173B50"/>
            <w:tcMar>
              <w:top w:w="65" w:type="dxa"/>
              <w:left w:w="85" w:type="dxa"/>
              <w:bottom w:w="65" w:type="dxa"/>
              <w:right w:w="85" w:type="dxa"/>
            </w:tcMar>
            <w:vAlign w:val="center"/>
          </w:tcPr>
          <w:p w14:paraId="6156EF4D" w14:textId="77777777" w:rsidR="0061324F" w:rsidRDefault="00000000">
            <w:pPr>
              <w:pStyle w:val="TableBody"/>
            </w:pPr>
            <w:r>
              <w:rPr>
                <w:b/>
                <w:color w:val="FFFFFF"/>
              </w:rPr>
              <w:t>Элемент чтения</w:t>
            </w:r>
          </w:p>
        </w:tc>
        <w:tc>
          <w:tcPr>
            <w:tcW w:w="6746" w:type="dxa"/>
            <w:shd w:val="clear" w:color="auto" w:fill="173B50"/>
            <w:tcMar>
              <w:top w:w="65" w:type="dxa"/>
              <w:left w:w="85" w:type="dxa"/>
              <w:bottom w:w="65" w:type="dxa"/>
              <w:right w:w="85" w:type="dxa"/>
            </w:tcMar>
            <w:vAlign w:val="center"/>
          </w:tcPr>
          <w:p w14:paraId="5F27577B" w14:textId="77777777" w:rsidR="0061324F" w:rsidRDefault="00000000">
            <w:pPr>
              <w:pStyle w:val="TableBody"/>
            </w:pPr>
            <w:r>
              <w:rPr>
                <w:b/>
                <w:color w:val="FFFFFF"/>
              </w:rPr>
              <w:t>Вопрос к собственному тексту</w:t>
            </w:r>
          </w:p>
        </w:tc>
      </w:tr>
      <w:tr w:rsidR="0061324F" w14:paraId="2254A266" w14:textId="77777777">
        <w:trPr>
          <w:cantSplit/>
          <w:jc w:val="center"/>
        </w:trPr>
        <w:tc>
          <w:tcPr>
            <w:tcW w:w="2891" w:type="dxa"/>
            <w:shd w:val="clear" w:color="auto" w:fill="F0F5F7"/>
            <w:tcMar>
              <w:top w:w="65" w:type="dxa"/>
              <w:left w:w="85" w:type="dxa"/>
              <w:bottom w:w="65" w:type="dxa"/>
              <w:right w:w="85" w:type="dxa"/>
            </w:tcMar>
            <w:vAlign w:val="center"/>
          </w:tcPr>
          <w:p w14:paraId="44327E84" w14:textId="77777777" w:rsidR="0061324F" w:rsidRDefault="00000000">
            <w:pPr>
              <w:pStyle w:val="TableBody"/>
            </w:pPr>
            <w:r>
              <w:t>Изменившийся контекст</w:t>
            </w:r>
          </w:p>
        </w:tc>
        <w:tc>
          <w:tcPr>
            <w:tcW w:w="6746" w:type="dxa"/>
            <w:shd w:val="clear" w:color="auto" w:fill="F0F5F7"/>
            <w:tcMar>
              <w:top w:w="65" w:type="dxa"/>
              <w:left w:w="85" w:type="dxa"/>
              <w:bottom w:w="65" w:type="dxa"/>
              <w:right w:w="85" w:type="dxa"/>
            </w:tcMar>
            <w:vAlign w:val="center"/>
          </w:tcPr>
          <w:p w14:paraId="602C6612" w14:textId="77777777" w:rsidR="0061324F" w:rsidRDefault="00000000">
            <w:pPr>
              <w:pStyle w:val="TableBody"/>
            </w:pPr>
            <w:r>
              <w:t>Какое событие делает анализ нужным сейчас?</w:t>
            </w:r>
          </w:p>
        </w:tc>
      </w:tr>
      <w:tr w:rsidR="0061324F" w14:paraId="45488D31" w14:textId="77777777">
        <w:trPr>
          <w:cantSplit/>
          <w:jc w:val="center"/>
        </w:trPr>
        <w:tc>
          <w:tcPr>
            <w:tcW w:w="2891" w:type="dxa"/>
            <w:shd w:val="clear" w:color="auto" w:fill="FFFFFF"/>
            <w:tcMar>
              <w:top w:w="65" w:type="dxa"/>
              <w:left w:w="85" w:type="dxa"/>
              <w:bottom w:w="65" w:type="dxa"/>
              <w:right w:w="85" w:type="dxa"/>
            </w:tcMar>
            <w:vAlign w:val="center"/>
          </w:tcPr>
          <w:p w14:paraId="23E6DF13" w14:textId="77777777" w:rsidR="0061324F" w:rsidRDefault="00000000">
            <w:pPr>
              <w:pStyle w:val="TableBody"/>
            </w:pPr>
            <w:r>
              <w:t>Состояние на дату</w:t>
            </w:r>
          </w:p>
        </w:tc>
        <w:tc>
          <w:tcPr>
            <w:tcW w:w="6746" w:type="dxa"/>
            <w:shd w:val="clear" w:color="auto" w:fill="FFFFFF"/>
            <w:tcMar>
              <w:top w:w="65" w:type="dxa"/>
              <w:left w:w="85" w:type="dxa"/>
              <w:bottom w:w="65" w:type="dxa"/>
              <w:right w:w="85" w:type="dxa"/>
            </w:tcMar>
            <w:vAlign w:val="center"/>
          </w:tcPr>
          <w:p w14:paraId="6B08A255" w14:textId="77777777" w:rsidR="0061324F" w:rsidRDefault="00000000">
            <w:pPr>
              <w:pStyle w:val="TableBody"/>
            </w:pPr>
            <w:r>
              <w:t>Что уже сделано и чем подтверждено?</w:t>
            </w:r>
          </w:p>
        </w:tc>
      </w:tr>
      <w:tr w:rsidR="0061324F" w14:paraId="23DCA623" w14:textId="77777777">
        <w:trPr>
          <w:cantSplit/>
          <w:jc w:val="center"/>
        </w:trPr>
        <w:tc>
          <w:tcPr>
            <w:tcW w:w="2891" w:type="dxa"/>
            <w:shd w:val="clear" w:color="auto" w:fill="F0F5F7"/>
            <w:tcMar>
              <w:top w:w="65" w:type="dxa"/>
              <w:left w:w="85" w:type="dxa"/>
              <w:bottom w:w="65" w:type="dxa"/>
              <w:right w:w="85" w:type="dxa"/>
            </w:tcMar>
            <w:vAlign w:val="center"/>
          </w:tcPr>
          <w:p w14:paraId="0B5D6373" w14:textId="77777777" w:rsidR="0061324F" w:rsidRDefault="00000000">
            <w:pPr>
              <w:pStyle w:val="TableBody"/>
            </w:pPr>
            <w:r>
              <w:t>Нерешенные вопросы</w:t>
            </w:r>
          </w:p>
        </w:tc>
        <w:tc>
          <w:tcPr>
            <w:tcW w:w="6746" w:type="dxa"/>
            <w:shd w:val="clear" w:color="auto" w:fill="F0F5F7"/>
            <w:tcMar>
              <w:top w:w="65" w:type="dxa"/>
              <w:left w:w="85" w:type="dxa"/>
              <w:bottom w:w="65" w:type="dxa"/>
              <w:right w:w="85" w:type="dxa"/>
            </w:tcMar>
            <w:vAlign w:val="center"/>
          </w:tcPr>
          <w:p w14:paraId="18BCF3AB" w14:textId="77777777" w:rsidR="0061324F" w:rsidRDefault="00000000">
            <w:pPr>
              <w:pStyle w:val="TableBody"/>
            </w:pPr>
            <w:r>
              <w:t>Что остается неизвестным или несогласованным?</w:t>
            </w:r>
          </w:p>
        </w:tc>
      </w:tr>
      <w:tr w:rsidR="0061324F" w14:paraId="764707D0" w14:textId="77777777">
        <w:trPr>
          <w:cantSplit/>
          <w:jc w:val="center"/>
        </w:trPr>
        <w:tc>
          <w:tcPr>
            <w:tcW w:w="2891" w:type="dxa"/>
            <w:shd w:val="clear" w:color="auto" w:fill="FFFFFF"/>
            <w:tcMar>
              <w:top w:w="65" w:type="dxa"/>
              <w:left w:w="85" w:type="dxa"/>
              <w:bottom w:w="65" w:type="dxa"/>
              <w:right w:w="85" w:type="dxa"/>
            </w:tcMar>
            <w:vAlign w:val="center"/>
          </w:tcPr>
          <w:p w14:paraId="62DE5D56" w14:textId="77777777" w:rsidR="0061324F" w:rsidRDefault="00000000">
            <w:pPr>
              <w:pStyle w:val="TableBody"/>
            </w:pPr>
            <w:r>
              <w:t>Рекомендации</w:t>
            </w:r>
          </w:p>
        </w:tc>
        <w:tc>
          <w:tcPr>
            <w:tcW w:w="6746" w:type="dxa"/>
            <w:shd w:val="clear" w:color="auto" w:fill="FFFFFF"/>
            <w:tcMar>
              <w:top w:w="65" w:type="dxa"/>
              <w:left w:w="85" w:type="dxa"/>
              <w:bottom w:w="65" w:type="dxa"/>
              <w:right w:w="85" w:type="dxa"/>
            </w:tcMar>
            <w:vAlign w:val="center"/>
          </w:tcPr>
          <w:p w14:paraId="07AF972B" w14:textId="77777777" w:rsidR="0061324F" w:rsidRDefault="00000000">
            <w:pPr>
              <w:pStyle w:val="TableBody"/>
            </w:pPr>
            <w:r>
              <w:t>Кто должен выполнить следующий шаг?</w:t>
            </w:r>
          </w:p>
        </w:tc>
      </w:tr>
    </w:tbl>
    <w:p w14:paraId="1E03A370" w14:textId="77777777" w:rsidR="0061324F" w:rsidRDefault="0061324F">
      <w:pPr>
        <w:spacing w:after="0" w:line="60" w:lineRule="exact"/>
      </w:pPr>
    </w:p>
    <w:p w14:paraId="38C038F9" w14:textId="77777777" w:rsidR="0048743B" w:rsidRDefault="0048743B"/>
    <w:p w14:paraId="0CA1B052" w14:textId="2C04370A" w:rsidR="0061324F" w:rsidRDefault="00000000">
      <w:r>
        <w:t>Не следует копировать объем государственного аудита в небольшую учебную записку. Переносится логика, а не число глав. Также нельзя считать опубликованные управленческие рекомендации независимым доказательством того, что они впоследствии были выполнены: для этого нужен другой период наблюдения.</w:t>
      </w:r>
    </w:p>
    <w:p w14:paraId="31F5E8D8" w14:textId="77777777" w:rsidR="0061324F" w:rsidRDefault="00000000">
      <w:pPr>
        <w:pStyle w:val="21"/>
      </w:pPr>
      <w:r>
        <w:t>Применение к центру</w:t>
      </w:r>
    </w:p>
    <w:p w14:paraId="41F28301" w14:textId="77777777" w:rsidR="0061324F" w:rsidRDefault="00000000">
      <w:r>
        <w:t>Если изменился набор занятий, прежняя цель «увеличить заявки» может перестать отражать доступную вместимость. В начале материала следует назвать изменение программ, а не прятать его в последнем примечании. Затем можно сравнивать переходы и экономику при актуальных условиях.</w:t>
      </w:r>
    </w:p>
    <w:p w14:paraId="0F98A3B8" w14:textId="77777777" w:rsidR="0061324F" w:rsidRDefault="00000000">
      <w:r>
        <w:t>Кейс учит строить текст вокруг решений, которые действительно изменились, и различать достигнутое, планируемое и необходимое. Эти статусы должны оставаться одинаковыми в резюме, таблицах и заключении.</w:t>
      </w:r>
    </w:p>
    <w:p w14:paraId="6DCD81F6" w14:textId="77777777" w:rsidR="0061324F" w:rsidRDefault="00000000">
      <w:r>
        <w:br w:type="page"/>
      </w:r>
    </w:p>
    <w:p w14:paraId="7FFFBC70" w14:textId="77777777" w:rsidR="0061324F" w:rsidRDefault="00000000">
      <w:pPr>
        <w:pStyle w:val="1"/>
      </w:pPr>
      <w:r>
        <w:lastRenderedPageBreak/>
        <w:t>4. Резюме: коротко, но без иной версии истины</w:t>
      </w:r>
    </w:p>
    <w:p w14:paraId="10ED217B" w14:textId="77777777" w:rsidR="0061324F" w:rsidRDefault="00000000">
      <w:r>
        <w:t>Исполнительное резюме читается самостоятельно. В нем должны быть вопрос, главный результат, основание, ограничение и предлагаемое действие. Не нужно подробно описывать каждую техническую операцию, но методологическое условие, меняющее смысл вывода, нельзя удалить ради краткости.</w:t>
      </w:r>
    </w:p>
    <w:p w14:paraId="742A2AD8" w14:textId="77777777" w:rsidR="0061324F" w:rsidRDefault="00000000">
      <w:pPr>
        <w:pStyle w:val="21"/>
      </w:pPr>
      <w:r>
        <w:t>Учебный образец резюме</w:t>
      </w:r>
    </w:p>
    <w:p w14:paraId="10BAA565" w14:textId="77777777" w:rsidR="0061324F" w:rsidRDefault="00000000">
      <w:r>
        <w:t>«Цель записки — определить, следует ли увеличивать бюджет привлечения центра “Линия знаний”. В двух равных четырехнедельных периодах заявки выросли со 120 до 180, а завершения — с 72 до 75. Расходы на привлечение увеличились со 120 000 до 180 000 тенге. Общие показатели указывают на необходимость проверки пути к участию, но не устанавливают причину различий: изменился состав каналов, индивидуальные причины неявки не исследованы. Предлагается сохранить ограниченный бюджет и сначала проверить понятность подтверждения и доступность изменения даты. Решение об увеличении расходов следует принять после оценки завершений и качества обращения по согласованной процедуре. Все данные этого примера вымышлены».</w:t>
      </w:r>
    </w:p>
    <w:p w14:paraId="6367D028" w14:textId="77777777" w:rsidR="0061324F" w:rsidRDefault="00000000">
      <w:r>
        <w:t>Резюме не является аннотацией, которая только сообщает, о чем документ. Читатель должен получить содержательный ответ. При этом оно не подменяет полный отчет: детали метода и таблицы позволяют проверить краткий вывод.</w:t>
      </w:r>
    </w:p>
    <w:p w14:paraId="20A97EC7" w14:textId="77777777" w:rsidR="0061324F" w:rsidRDefault="00000000">
      <w:pPr>
        <w:pStyle w:val="21"/>
      </w:pPr>
      <w:r>
        <w:t>Тест удаления</w:t>
      </w:r>
    </w:p>
    <w:p w14:paraId="21714F84" w14:textId="77777777" w:rsidR="0061324F" w:rsidRDefault="00000000">
      <w:r>
        <w:t>Последовательно удаляйте предложения и спрашивайте, изменился ли смысл решения. Если исчезает только второстепенная подробность, сокращение возможно. Если пропадает ограничение причинности или статус учебных данных, сокращение создает другой материал.</w:t>
      </w:r>
    </w:p>
    <w:p w14:paraId="13044FC6" w14:textId="77777777" w:rsidR="0061324F" w:rsidRDefault="00000000">
      <w:r>
        <w:t>Для широкой аудитории термины поясняют при первом употреблении. Не нужно заменять каждый понятный глагол профессиональным сокращением. Однако определения метрик должны сохраняться: «участники» не заменяют «завершивших», если это разные группы.</w:t>
      </w:r>
    </w:p>
    <w:p w14:paraId="27752A16" w14:textId="77777777" w:rsidR="0061324F" w:rsidRDefault="00000000">
      <w:r>
        <w:t>Краткую версию лучше писать после основного анализа, затем сверять с ним строка за строкой. Ранняя формулировка может служить рабочей гипотезой, но не должна удерживать финальный текст в рамках первоначального ожидания.</w:t>
      </w:r>
    </w:p>
    <w:p w14:paraId="54DC4896" w14:textId="77777777" w:rsidR="0061324F" w:rsidRDefault="00000000">
      <w:r>
        <w:br w:type="page"/>
      </w:r>
    </w:p>
    <w:p w14:paraId="21D97DFB" w14:textId="77777777" w:rsidR="0061324F" w:rsidRDefault="00000000">
      <w:pPr>
        <w:pStyle w:val="1"/>
      </w:pPr>
      <w:r>
        <w:lastRenderedPageBreak/>
        <w:t>5. Переходы, приложения и редакционные версии</w:t>
      </w:r>
    </w:p>
    <w:p w14:paraId="2FC2D7B5" w14:textId="77777777" w:rsidR="0061324F" w:rsidRDefault="00000000">
      <w:r>
        <w:t>Связующий текст объясняет, почему новое сравнение нужно после предыдущего. «Кроме того» не заменяет логику. Например: «Поскольку общий показатель чувствителен к составу посетителей, далее сравним каналы отдельно». В этой фразе есть основание перехода и ожидаемая функция следующей таблицы.</w:t>
      </w:r>
    </w:p>
    <w:p w14:paraId="60DA0634" w14:textId="77777777" w:rsidR="0061324F" w:rsidRDefault="00000000">
      <w:pPr>
        <w:pStyle w:val="21"/>
      </w:pPr>
      <w:r>
        <w:t>Что помещать в приложение</w:t>
      </w:r>
    </w:p>
    <w:p w14:paraId="272CF5B9" w14:textId="77777777" w:rsidR="0061324F" w:rsidRDefault="00000000">
      <w:r>
        <w:t>Подробные формулы, словарь полей, журнал очистки и дополнительные разрезы могут быть вынесены из основного текста. Но сведения, определяющие доверие к главному выводу, остаются заметными. Нельзя сообщить в резюме о полном охвате, а в приложении признать потерю значительной части записей.</w:t>
      </w:r>
    </w:p>
    <w:p w14:paraId="2F896701" w14:textId="77777777" w:rsidR="0048743B" w:rsidRDefault="0048743B"/>
    <w:tbl>
      <w:tblPr>
        <w:tblW w:w="0" w:type="auto"/>
        <w:jc w:val="center"/>
        <w:tblLayout w:type="fixed"/>
        <w:tblLook w:val="04A0" w:firstRow="1" w:lastRow="0" w:firstColumn="1" w:lastColumn="0" w:noHBand="0" w:noVBand="1"/>
      </w:tblPr>
      <w:tblGrid>
        <w:gridCol w:w="2891"/>
        <w:gridCol w:w="6746"/>
      </w:tblGrid>
      <w:tr w:rsidR="0061324F" w14:paraId="1706BFF3" w14:textId="77777777">
        <w:trPr>
          <w:cantSplit/>
          <w:tblHeader/>
          <w:jc w:val="center"/>
        </w:trPr>
        <w:tc>
          <w:tcPr>
            <w:tcW w:w="2891" w:type="dxa"/>
            <w:shd w:val="clear" w:color="auto" w:fill="173B50"/>
            <w:tcMar>
              <w:top w:w="65" w:type="dxa"/>
              <w:left w:w="85" w:type="dxa"/>
              <w:bottom w:w="65" w:type="dxa"/>
              <w:right w:w="85" w:type="dxa"/>
            </w:tcMar>
            <w:vAlign w:val="center"/>
          </w:tcPr>
          <w:p w14:paraId="02DB8537" w14:textId="77777777" w:rsidR="0061324F" w:rsidRDefault="00000000">
            <w:pPr>
              <w:pStyle w:val="TableBody"/>
            </w:pPr>
            <w:r>
              <w:rPr>
                <w:b/>
                <w:color w:val="FFFFFF"/>
              </w:rPr>
              <w:t>Основной текст</w:t>
            </w:r>
          </w:p>
        </w:tc>
        <w:tc>
          <w:tcPr>
            <w:tcW w:w="6746" w:type="dxa"/>
            <w:shd w:val="clear" w:color="auto" w:fill="173B50"/>
            <w:tcMar>
              <w:top w:w="65" w:type="dxa"/>
              <w:left w:w="85" w:type="dxa"/>
              <w:bottom w:w="65" w:type="dxa"/>
              <w:right w:w="85" w:type="dxa"/>
            </w:tcMar>
            <w:vAlign w:val="center"/>
          </w:tcPr>
          <w:p w14:paraId="3A923BA3" w14:textId="77777777" w:rsidR="0061324F" w:rsidRDefault="00000000">
            <w:pPr>
              <w:pStyle w:val="TableBody"/>
            </w:pPr>
            <w:r>
              <w:rPr>
                <w:b/>
                <w:color w:val="FFFFFF"/>
              </w:rPr>
              <w:t>Приложение</w:t>
            </w:r>
          </w:p>
        </w:tc>
      </w:tr>
      <w:tr w:rsidR="0061324F" w14:paraId="2EDE1113" w14:textId="77777777">
        <w:trPr>
          <w:cantSplit/>
          <w:jc w:val="center"/>
        </w:trPr>
        <w:tc>
          <w:tcPr>
            <w:tcW w:w="2891" w:type="dxa"/>
            <w:shd w:val="clear" w:color="auto" w:fill="F0F5F7"/>
            <w:tcMar>
              <w:top w:w="65" w:type="dxa"/>
              <w:left w:w="85" w:type="dxa"/>
              <w:bottom w:w="65" w:type="dxa"/>
              <w:right w:w="85" w:type="dxa"/>
            </w:tcMar>
            <w:vAlign w:val="center"/>
          </w:tcPr>
          <w:p w14:paraId="78FE8EB0" w14:textId="77777777" w:rsidR="0061324F" w:rsidRDefault="00000000">
            <w:pPr>
              <w:pStyle w:val="TableBody"/>
            </w:pPr>
            <w:r>
              <w:t>Главный вопрос и результат</w:t>
            </w:r>
          </w:p>
        </w:tc>
        <w:tc>
          <w:tcPr>
            <w:tcW w:w="6746" w:type="dxa"/>
            <w:shd w:val="clear" w:color="auto" w:fill="F0F5F7"/>
            <w:tcMar>
              <w:top w:w="65" w:type="dxa"/>
              <w:left w:w="85" w:type="dxa"/>
              <w:bottom w:w="65" w:type="dxa"/>
              <w:right w:w="85" w:type="dxa"/>
            </w:tcMar>
            <w:vAlign w:val="center"/>
          </w:tcPr>
          <w:p w14:paraId="58B4E5BB" w14:textId="77777777" w:rsidR="0061324F" w:rsidRDefault="00000000">
            <w:pPr>
              <w:pStyle w:val="TableBody"/>
            </w:pPr>
            <w:r>
              <w:t>Подробный журнал поиска</w:t>
            </w:r>
          </w:p>
        </w:tc>
      </w:tr>
      <w:tr w:rsidR="0061324F" w14:paraId="66018047" w14:textId="77777777">
        <w:trPr>
          <w:cantSplit/>
          <w:jc w:val="center"/>
        </w:trPr>
        <w:tc>
          <w:tcPr>
            <w:tcW w:w="2891" w:type="dxa"/>
            <w:shd w:val="clear" w:color="auto" w:fill="FFFFFF"/>
            <w:tcMar>
              <w:top w:w="65" w:type="dxa"/>
              <w:left w:w="85" w:type="dxa"/>
              <w:bottom w:w="65" w:type="dxa"/>
              <w:right w:w="85" w:type="dxa"/>
            </w:tcMar>
            <w:vAlign w:val="center"/>
          </w:tcPr>
          <w:p w14:paraId="1841CD16" w14:textId="77777777" w:rsidR="0061324F" w:rsidRDefault="00000000">
            <w:pPr>
              <w:pStyle w:val="TableBody"/>
            </w:pPr>
            <w:r>
              <w:t>Ключевые определения</w:t>
            </w:r>
          </w:p>
        </w:tc>
        <w:tc>
          <w:tcPr>
            <w:tcW w:w="6746" w:type="dxa"/>
            <w:shd w:val="clear" w:color="auto" w:fill="FFFFFF"/>
            <w:tcMar>
              <w:top w:w="65" w:type="dxa"/>
              <w:left w:w="85" w:type="dxa"/>
              <w:bottom w:w="65" w:type="dxa"/>
              <w:right w:w="85" w:type="dxa"/>
            </w:tcMar>
            <w:vAlign w:val="center"/>
          </w:tcPr>
          <w:p w14:paraId="2F658DE6" w14:textId="77777777" w:rsidR="0061324F" w:rsidRDefault="00000000">
            <w:pPr>
              <w:pStyle w:val="TableBody"/>
            </w:pPr>
            <w:r>
              <w:t>Полный словарь полей</w:t>
            </w:r>
          </w:p>
        </w:tc>
      </w:tr>
      <w:tr w:rsidR="0061324F" w14:paraId="18548C34" w14:textId="77777777">
        <w:trPr>
          <w:cantSplit/>
          <w:jc w:val="center"/>
        </w:trPr>
        <w:tc>
          <w:tcPr>
            <w:tcW w:w="2891" w:type="dxa"/>
            <w:shd w:val="clear" w:color="auto" w:fill="F0F5F7"/>
            <w:tcMar>
              <w:top w:w="65" w:type="dxa"/>
              <w:left w:w="85" w:type="dxa"/>
              <w:bottom w:w="65" w:type="dxa"/>
              <w:right w:w="85" w:type="dxa"/>
            </w:tcMar>
            <w:vAlign w:val="center"/>
          </w:tcPr>
          <w:p w14:paraId="62A307D2" w14:textId="77777777" w:rsidR="0061324F" w:rsidRDefault="00000000">
            <w:pPr>
              <w:pStyle w:val="TableBody"/>
            </w:pPr>
            <w:r>
              <w:t>Существенные ограничения</w:t>
            </w:r>
          </w:p>
        </w:tc>
        <w:tc>
          <w:tcPr>
            <w:tcW w:w="6746" w:type="dxa"/>
            <w:shd w:val="clear" w:color="auto" w:fill="F0F5F7"/>
            <w:tcMar>
              <w:top w:w="65" w:type="dxa"/>
              <w:left w:w="85" w:type="dxa"/>
              <w:bottom w:w="65" w:type="dxa"/>
              <w:right w:w="85" w:type="dxa"/>
            </w:tcMar>
            <w:vAlign w:val="center"/>
          </w:tcPr>
          <w:p w14:paraId="236FEFF0" w14:textId="77777777" w:rsidR="0061324F" w:rsidRDefault="00000000">
            <w:pPr>
              <w:pStyle w:val="TableBody"/>
            </w:pPr>
            <w:r>
              <w:t>Технические детали преобразований</w:t>
            </w:r>
          </w:p>
        </w:tc>
      </w:tr>
      <w:tr w:rsidR="0061324F" w14:paraId="5CF34755" w14:textId="77777777">
        <w:trPr>
          <w:cantSplit/>
          <w:jc w:val="center"/>
        </w:trPr>
        <w:tc>
          <w:tcPr>
            <w:tcW w:w="2891" w:type="dxa"/>
            <w:shd w:val="clear" w:color="auto" w:fill="FFFFFF"/>
            <w:tcMar>
              <w:top w:w="65" w:type="dxa"/>
              <w:left w:w="85" w:type="dxa"/>
              <w:bottom w:w="65" w:type="dxa"/>
              <w:right w:w="85" w:type="dxa"/>
            </w:tcMar>
            <w:vAlign w:val="center"/>
          </w:tcPr>
          <w:p w14:paraId="7E935B56" w14:textId="77777777" w:rsidR="0061324F" w:rsidRDefault="00000000">
            <w:pPr>
              <w:pStyle w:val="TableBody"/>
            </w:pPr>
            <w:r>
              <w:t>Основание выбора действий</w:t>
            </w:r>
          </w:p>
        </w:tc>
        <w:tc>
          <w:tcPr>
            <w:tcW w:w="6746" w:type="dxa"/>
            <w:shd w:val="clear" w:color="auto" w:fill="FFFFFF"/>
            <w:tcMar>
              <w:top w:w="65" w:type="dxa"/>
              <w:left w:w="85" w:type="dxa"/>
              <w:bottom w:w="65" w:type="dxa"/>
              <w:right w:w="85" w:type="dxa"/>
            </w:tcMar>
            <w:vAlign w:val="center"/>
          </w:tcPr>
          <w:p w14:paraId="7623F823" w14:textId="77777777" w:rsidR="0061324F" w:rsidRDefault="00000000">
            <w:pPr>
              <w:pStyle w:val="TableBody"/>
            </w:pPr>
            <w:r>
              <w:t>Дополнительные таблицы чувствительности</w:t>
            </w:r>
          </w:p>
        </w:tc>
      </w:tr>
    </w:tbl>
    <w:p w14:paraId="7C046204" w14:textId="77777777" w:rsidR="0061324F" w:rsidRDefault="0061324F">
      <w:pPr>
        <w:spacing w:after="0" w:line="60" w:lineRule="exact"/>
      </w:pPr>
    </w:p>
    <w:p w14:paraId="7A61340F" w14:textId="77777777" w:rsidR="0048743B" w:rsidRDefault="0048743B">
      <w:pPr>
        <w:pStyle w:val="21"/>
      </w:pPr>
    </w:p>
    <w:p w14:paraId="4F3120FF" w14:textId="45416F8C" w:rsidR="0061324F" w:rsidRDefault="00000000">
      <w:pPr>
        <w:pStyle w:val="21"/>
      </w:pPr>
      <w:r>
        <w:t>Три прохода редактуры</w:t>
      </w:r>
    </w:p>
    <w:p w14:paraId="2ACBC60F" w14:textId="77777777" w:rsidR="0061324F" w:rsidRDefault="00000000">
      <w:r>
        <w:t>Сначала проверяют смысл: вопрос, основания и вывод. Затем структуру: порядок, повторы и переходы. После этого — язык, числа, таблицы и оформление. Исправление запятых до согласования основного вывода может быть преждевременным, хотя финальная языковая проверка обязательна.</w:t>
      </w:r>
    </w:p>
    <w:p w14:paraId="6679E4BF" w14:textId="77777777" w:rsidR="0061324F" w:rsidRDefault="00000000">
      <w:r>
        <w:t>Редакторские замечания формулируются по предмету: «Укажите знаменатель доли» полезнее «усилить аналитику». Для каждого существенного замечания нужно решение: исправлено, отклонено с обоснованием или требуется уточнение источника. Такая таблица позволяет завершить работу, не теряя спорных вопросов.</w:t>
      </w:r>
    </w:p>
    <w:p w14:paraId="6D494F2C" w14:textId="77777777" w:rsidR="0061324F" w:rsidRDefault="00000000">
      <w:r>
        <w:t>Сохраняйте согласованную версию и дату. Если после проверки обновилась исходная таблица, сверяются все производные места: резюме, подписи, расчеты и презентация. Одна исправленная цифра не гарантирует, что весь материал снова стал согласованным.</w:t>
      </w:r>
    </w:p>
    <w:sectPr w:rsidR="0061324F" w:rsidSect="00034616">
      <w:headerReference w:type="default" r:id="rId8"/>
      <w:footerReference w:type="default" r:id="rId9"/>
      <w:pgSz w:w="11906" w:h="16838"/>
      <w:pgMar w:top="992" w:right="1134" w:bottom="964" w:left="1134"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83823" w14:textId="77777777" w:rsidR="00B3767F" w:rsidRDefault="00B3767F">
      <w:pPr>
        <w:spacing w:after="0" w:line="240" w:lineRule="auto"/>
      </w:pPr>
      <w:r>
        <w:separator/>
      </w:r>
    </w:p>
  </w:endnote>
  <w:endnote w:type="continuationSeparator" w:id="0">
    <w:p w14:paraId="588E10A5" w14:textId="77777777" w:rsidR="00B3767F" w:rsidRDefault="00B37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62E5" w14:textId="3A8EC960" w:rsidR="0061324F" w:rsidRDefault="0061324F">
    <w:pPr>
      <w:pStyle w:val="Small"/>
      <w:tabs>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23DBD" w14:textId="77777777" w:rsidR="00B3767F" w:rsidRDefault="00B3767F">
      <w:pPr>
        <w:spacing w:after="0" w:line="240" w:lineRule="auto"/>
      </w:pPr>
      <w:r>
        <w:separator/>
      </w:r>
    </w:p>
  </w:footnote>
  <w:footnote w:type="continuationSeparator" w:id="0">
    <w:p w14:paraId="0B695650" w14:textId="77777777" w:rsidR="00B3767F" w:rsidRDefault="00B376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5AA63" w14:textId="1859729E" w:rsidR="0061324F" w:rsidRDefault="0061324F">
    <w:pPr>
      <w:pStyle w:val="Small"/>
      <w:pBdr>
        <w:bottom w:val="single" w:sz="4" w:space="0" w:color="BCCDD5"/>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812873909">
    <w:abstractNumId w:val="8"/>
  </w:num>
  <w:num w:numId="2" w16cid:durableId="1296839529">
    <w:abstractNumId w:val="6"/>
  </w:num>
  <w:num w:numId="3" w16cid:durableId="1295867452">
    <w:abstractNumId w:val="5"/>
  </w:num>
  <w:num w:numId="4" w16cid:durableId="27877026">
    <w:abstractNumId w:val="4"/>
  </w:num>
  <w:num w:numId="5" w16cid:durableId="1277909783">
    <w:abstractNumId w:val="7"/>
  </w:num>
  <w:num w:numId="6" w16cid:durableId="1653414278">
    <w:abstractNumId w:val="3"/>
  </w:num>
  <w:num w:numId="7" w16cid:durableId="1998528559">
    <w:abstractNumId w:val="2"/>
  </w:num>
  <w:num w:numId="8" w16cid:durableId="1726029971">
    <w:abstractNumId w:val="1"/>
  </w:num>
  <w:num w:numId="9" w16cid:durableId="1211378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8743B"/>
    <w:rsid w:val="0061324F"/>
    <w:rsid w:val="00AA1D8D"/>
    <w:rsid w:val="00B3767F"/>
    <w:rsid w:val="00B47730"/>
    <w:rsid w:val="00BD1DE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39A12D"/>
  <w14:defaultImageDpi w14:val="300"/>
  <w15:docId w15:val="{1D3892AD-CDD9-474F-BE2F-121682BE8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9" w:lineRule="auto"/>
    </w:pPr>
    <w:rPr>
      <w:rFonts w:ascii="Times New Roman" w:eastAsia="Times New Roman" w:hAnsi="Times New Roman" w:cs="Times New Roman"/>
      <w:color w:val="202B32"/>
      <w:sz w:val="25"/>
      <w:lang w:val="ru-RU"/>
    </w:rPr>
  </w:style>
  <w:style w:type="paragraph" w:styleId="1">
    <w:name w:val="heading 1"/>
    <w:basedOn w:val="a1"/>
    <w:next w:val="a1"/>
    <w:link w:val="10"/>
    <w:uiPriority w:val="9"/>
    <w:qFormat/>
    <w:rsid w:val="00FC693F"/>
    <w:pPr>
      <w:keepNext/>
      <w:keepLines/>
      <w:spacing w:before="160"/>
      <w:outlineLvl w:val="0"/>
    </w:pPr>
    <w:rPr>
      <w:rFonts w:asciiTheme="majorHAnsi" w:eastAsiaTheme="majorEastAsia" w:hAnsiTheme="majorHAnsi" w:cstheme="majorBidi"/>
      <w:b/>
      <w:bCs/>
      <w:color w:val="173B50"/>
      <w:sz w:val="32"/>
      <w:szCs w:val="28"/>
    </w:rPr>
  </w:style>
  <w:style w:type="paragraph" w:styleId="21">
    <w:name w:val="heading 2"/>
    <w:basedOn w:val="a1"/>
    <w:next w:val="a1"/>
    <w:link w:val="22"/>
    <w:uiPriority w:val="9"/>
    <w:unhideWhenUsed/>
    <w:qFormat/>
    <w:rsid w:val="00FC693F"/>
    <w:pPr>
      <w:keepNext/>
      <w:keepLines/>
      <w:spacing w:before="160"/>
      <w:outlineLvl w:val="1"/>
    </w:pPr>
    <w:rPr>
      <w:rFonts w:asciiTheme="majorHAnsi" w:eastAsiaTheme="majorEastAsia" w:hAnsiTheme="majorHAnsi" w:cstheme="majorBidi"/>
      <w:b/>
      <w:bCs/>
      <w:color w:val="247178"/>
      <w:szCs w:val="26"/>
    </w:rPr>
  </w:style>
  <w:style w:type="paragraph" w:styleId="31">
    <w:name w:val="heading 3"/>
    <w:basedOn w:val="a1"/>
    <w:next w:val="a1"/>
    <w:link w:val="32"/>
    <w:uiPriority w:val="9"/>
    <w:unhideWhenUsed/>
    <w:qFormat/>
    <w:rsid w:val="00FC693F"/>
    <w:pPr>
      <w:keepNext/>
      <w:keepLines/>
      <w:spacing w:before="160"/>
      <w:outlineLvl w:val="2"/>
    </w:pPr>
    <w:rPr>
      <w:rFonts w:asciiTheme="majorHAnsi" w:eastAsiaTheme="majorEastAsia" w:hAnsiTheme="majorHAnsi" w:cstheme="majorBidi"/>
      <w:b/>
      <w:bCs/>
      <w:color w:val="173B50"/>
      <w:sz w:val="23"/>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173B50"/>
      <w:spacing w:val="5"/>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80" w:line="259" w:lineRule="auto"/>
    </w:pPr>
    <w:rPr>
      <w:rFonts w:ascii="Arial" w:eastAsia="Arial" w:hAnsi="Arial" w:cs="Arial"/>
      <w:color w:val="334D5B"/>
      <w:sz w:val="18"/>
      <w:lang w:val="ru-RU"/>
    </w:rPr>
  </w:style>
  <w:style w:type="paragraph" w:customStyle="1" w:styleId="TableBody">
    <w:name w:val="Table Body"/>
    <w:pPr>
      <w:spacing w:after="80" w:line="259" w:lineRule="auto"/>
    </w:pPr>
    <w:rPr>
      <w:rFonts w:ascii="Arial" w:eastAsia="Arial" w:hAnsi="Arial" w:cs="Arial"/>
      <w:color w:val="334D5B"/>
      <w:sz w:val="20"/>
      <w:lang w:val="ru-RU"/>
    </w:rPr>
  </w:style>
  <w:style w:type="paragraph" w:customStyle="1" w:styleId="Source">
    <w:name w:val="Source"/>
    <w:pPr>
      <w:spacing w:after="80" w:line="259" w:lineRule="auto"/>
    </w:pPr>
    <w:rPr>
      <w:rFonts w:ascii="Arial" w:eastAsia="Arial" w:hAnsi="Arial" w:cs="Arial"/>
      <w:color w:val="334D5B"/>
      <w:sz w:val="18"/>
      <w:lang w:val="ru-RU"/>
    </w:rPr>
  </w:style>
  <w:style w:type="paragraph" w:customStyle="1" w:styleId="Callout">
    <w:name w:val="Callout"/>
    <w:pPr>
      <w:spacing w:after="80" w:line="259" w:lineRule="auto"/>
    </w:pPr>
    <w:rPr>
      <w:rFonts w:ascii="Arial" w:eastAsia="Arial" w:hAnsi="Arial" w:cs="Arial"/>
      <w:color w:val="334D5B"/>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1360</Words>
  <Characters>7755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Навыки создания аналитических материалов. Лекция 10</dc:title>
  <dc:subject>Учебный материал для бакалавриата</dc:subject>
  <dc:creator/>
  <cp:keywords>аналитика, источники, отчет, аргументация, дистанционное обучение</cp:keywords>
  <dc:description>generated by python-docx</dc:description>
  <cp:lastModifiedBy>Mikhail Sizov</cp:lastModifiedBy>
  <cp:revision>3</cp:revision>
  <dcterms:created xsi:type="dcterms:W3CDTF">2013-12-23T23:15:00Z</dcterms:created>
  <dcterms:modified xsi:type="dcterms:W3CDTF">2026-10-07T19:06:00Z</dcterms:modified>
  <cp:category/>
</cp:coreProperties>
</file>