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73700" w14:textId="77777777" w:rsidR="009F2E99" w:rsidRDefault="00000000">
      <w:pPr>
        <w:pStyle w:val="aa"/>
      </w:pPr>
      <w:r>
        <w:t>Аргументация, критическое мышление и коммуникация неопределенности</w:t>
      </w:r>
    </w:p>
    <w:p w14:paraId="5D720B00" w14:textId="77777777" w:rsidR="009F2E99" w:rsidRDefault="00000000">
      <w:pPr>
        <w:pStyle w:val="1"/>
      </w:pPr>
      <w:r>
        <w:t>1. Структура аргумента</w:t>
      </w:r>
    </w:p>
    <w:p w14:paraId="7B1CE353" w14:textId="77777777" w:rsidR="009F2E99" w:rsidRDefault="00000000">
      <w:r>
        <w:t>Тезис — то, что автор предлагает принять. Свидетельство — данные или документы в его поддержку. Основание перехода объясняет, почему именно эти сведения относятся к тезису. Без перехода таблица и вывод могут существовать рядом, не образуя доказательства.</w:t>
      </w:r>
    </w:p>
    <w:p w14:paraId="1E49EFAD" w14:textId="77777777" w:rsidR="009F2E99" w:rsidRDefault="00000000">
      <w:r>
        <w:t>Например, «время ответа выросло, поэтому нужно увеличить штат» пропускает проверку нагрузки, сложности обращений, расписания и качества учета. Дополнительный сотрудник может быть разумной мерой, но не единственным следствием наблюдения. Аналитик должен сравнить ее с изменением процесса и перераспределением нагрузки.</w:t>
      </w:r>
    </w:p>
    <w:p w14:paraId="6C8D7417" w14:textId="77777777" w:rsidR="00155767" w:rsidRDefault="00155767"/>
    <w:tbl>
      <w:tblPr>
        <w:tblW w:w="0" w:type="auto"/>
        <w:jc w:val="center"/>
        <w:tblLayout w:type="fixed"/>
        <w:tblLook w:val="04A0" w:firstRow="1" w:lastRow="0" w:firstColumn="1" w:lastColumn="0" w:noHBand="0" w:noVBand="1"/>
      </w:tblPr>
      <w:tblGrid>
        <w:gridCol w:w="2891"/>
        <w:gridCol w:w="6746"/>
      </w:tblGrid>
      <w:tr w:rsidR="009F2E99" w14:paraId="690272AA" w14:textId="77777777">
        <w:trPr>
          <w:cantSplit/>
          <w:tblHeader/>
          <w:jc w:val="center"/>
        </w:trPr>
        <w:tc>
          <w:tcPr>
            <w:tcW w:w="2891" w:type="dxa"/>
            <w:shd w:val="clear" w:color="auto" w:fill="173B50"/>
            <w:tcMar>
              <w:top w:w="65" w:type="dxa"/>
              <w:left w:w="85" w:type="dxa"/>
              <w:bottom w:w="65" w:type="dxa"/>
              <w:right w:w="85" w:type="dxa"/>
            </w:tcMar>
            <w:vAlign w:val="center"/>
          </w:tcPr>
          <w:p w14:paraId="157C7187" w14:textId="77777777" w:rsidR="009F2E99" w:rsidRDefault="00000000">
            <w:pPr>
              <w:pStyle w:val="TableBody"/>
            </w:pPr>
            <w:r>
              <w:rPr>
                <w:b/>
                <w:color w:val="FFFFFF"/>
              </w:rPr>
              <w:t>Элемент</w:t>
            </w:r>
          </w:p>
        </w:tc>
        <w:tc>
          <w:tcPr>
            <w:tcW w:w="6746" w:type="dxa"/>
            <w:shd w:val="clear" w:color="auto" w:fill="173B50"/>
            <w:tcMar>
              <w:top w:w="65" w:type="dxa"/>
              <w:left w:w="85" w:type="dxa"/>
              <w:bottom w:w="65" w:type="dxa"/>
              <w:right w:w="85" w:type="dxa"/>
            </w:tcMar>
            <w:vAlign w:val="center"/>
          </w:tcPr>
          <w:p w14:paraId="621C0BED" w14:textId="77777777" w:rsidR="009F2E99" w:rsidRDefault="00000000">
            <w:pPr>
              <w:pStyle w:val="TableBody"/>
            </w:pPr>
            <w:r>
              <w:rPr>
                <w:b/>
                <w:color w:val="FFFFFF"/>
              </w:rPr>
              <w:t>Вопрос</w:t>
            </w:r>
          </w:p>
        </w:tc>
      </w:tr>
      <w:tr w:rsidR="009F2E99" w14:paraId="52176717" w14:textId="77777777">
        <w:trPr>
          <w:cantSplit/>
          <w:jc w:val="center"/>
        </w:trPr>
        <w:tc>
          <w:tcPr>
            <w:tcW w:w="2891" w:type="dxa"/>
            <w:shd w:val="clear" w:color="auto" w:fill="F0F5F7"/>
            <w:tcMar>
              <w:top w:w="65" w:type="dxa"/>
              <w:left w:w="85" w:type="dxa"/>
              <w:bottom w:w="65" w:type="dxa"/>
              <w:right w:w="85" w:type="dxa"/>
            </w:tcMar>
            <w:vAlign w:val="center"/>
          </w:tcPr>
          <w:p w14:paraId="1DF5CF5B" w14:textId="77777777" w:rsidR="009F2E99" w:rsidRDefault="00000000">
            <w:pPr>
              <w:pStyle w:val="TableBody"/>
            </w:pPr>
            <w:r>
              <w:t>Тезис</w:t>
            </w:r>
          </w:p>
        </w:tc>
        <w:tc>
          <w:tcPr>
            <w:tcW w:w="6746" w:type="dxa"/>
            <w:shd w:val="clear" w:color="auto" w:fill="F0F5F7"/>
            <w:tcMar>
              <w:top w:w="65" w:type="dxa"/>
              <w:left w:w="85" w:type="dxa"/>
              <w:bottom w:w="65" w:type="dxa"/>
              <w:right w:w="85" w:type="dxa"/>
            </w:tcMar>
            <w:vAlign w:val="center"/>
          </w:tcPr>
          <w:p w14:paraId="7A20A99A" w14:textId="77777777" w:rsidR="009F2E99" w:rsidRDefault="00000000">
            <w:pPr>
              <w:pStyle w:val="TableBody"/>
            </w:pPr>
            <w:r>
              <w:t>Что именно утверждается?</w:t>
            </w:r>
          </w:p>
        </w:tc>
      </w:tr>
      <w:tr w:rsidR="009F2E99" w14:paraId="2B4F9C42" w14:textId="77777777">
        <w:trPr>
          <w:cantSplit/>
          <w:jc w:val="center"/>
        </w:trPr>
        <w:tc>
          <w:tcPr>
            <w:tcW w:w="2891" w:type="dxa"/>
            <w:shd w:val="clear" w:color="auto" w:fill="FFFFFF"/>
            <w:tcMar>
              <w:top w:w="65" w:type="dxa"/>
              <w:left w:w="85" w:type="dxa"/>
              <w:bottom w:w="65" w:type="dxa"/>
              <w:right w:w="85" w:type="dxa"/>
            </w:tcMar>
            <w:vAlign w:val="center"/>
          </w:tcPr>
          <w:p w14:paraId="66DAB7CB" w14:textId="77777777" w:rsidR="009F2E99" w:rsidRDefault="00000000">
            <w:pPr>
              <w:pStyle w:val="TableBody"/>
            </w:pPr>
            <w:r>
              <w:t>Свидетельство</w:t>
            </w:r>
          </w:p>
        </w:tc>
        <w:tc>
          <w:tcPr>
            <w:tcW w:w="6746" w:type="dxa"/>
            <w:shd w:val="clear" w:color="auto" w:fill="FFFFFF"/>
            <w:tcMar>
              <w:top w:w="65" w:type="dxa"/>
              <w:left w:w="85" w:type="dxa"/>
              <w:bottom w:w="65" w:type="dxa"/>
              <w:right w:w="85" w:type="dxa"/>
            </w:tcMar>
            <w:vAlign w:val="center"/>
          </w:tcPr>
          <w:p w14:paraId="6FC9C9CC" w14:textId="77777777" w:rsidR="009F2E99" w:rsidRDefault="00000000">
            <w:pPr>
              <w:pStyle w:val="TableBody"/>
            </w:pPr>
            <w:r>
              <w:t>Какое наблюдение его поддерживает?</w:t>
            </w:r>
          </w:p>
        </w:tc>
      </w:tr>
      <w:tr w:rsidR="009F2E99" w14:paraId="1BD4C770" w14:textId="77777777">
        <w:trPr>
          <w:cantSplit/>
          <w:jc w:val="center"/>
        </w:trPr>
        <w:tc>
          <w:tcPr>
            <w:tcW w:w="2891" w:type="dxa"/>
            <w:shd w:val="clear" w:color="auto" w:fill="F0F5F7"/>
            <w:tcMar>
              <w:top w:w="65" w:type="dxa"/>
              <w:left w:w="85" w:type="dxa"/>
              <w:bottom w:w="65" w:type="dxa"/>
              <w:right w:w="85" w:type="dxa"/>
            </w:tcMar>
            <w:vAlign w:val="center"/>
          </w:tcPr>
          <w:p w14:paraId="282A6147" w14:textId="77777777" w:rsidR="009F2E99" w:rsidRDefault="00000000">
            <w:pPr>
              <w:pStyle w:val="TableBody"/>
            </w:pPr>
            <w:r>
              <w:t>Переход</w:t>
            </w:r>
          </w:p>
        </w:tc>
        <w:tc>
          <w:tcPr>
            <w:tcW w:w="6746" w:type="dxa"/>
            <w:shd w:val="clear" w:color="auto" w:fill="F0F5F7"/>
            <w:tcMar>
              <w:top w:w="65" w:type="dxa"/>
              <w:left w:w="85" w:type="dxa"/>
              <w:bottom w:w="65" w:type="dxa"/>
              <w:right w:w="85" w:type="dxa"/>
            </w:tcMar>
            <w:vAlign w:val="center"/>
          </w:tcPr>
          <w:p w14:paraId="7CE29756" w14:textId="77777777" w:rsidR="009F2E99" w:rsidRDefault="00000000">
            <w:pPr>
              <w:pStyle w:val="TableBody"/>
            </w:pPr>
            <w:r>
              <w:t>Почему свидетельство относится к этому выводу?</w:t>
            </w:r>
          </w:p>
        </w:tc>
      </w:tr>
      <w:tr w:rsidR="009F2E99" w14:paraId="6020060C" w14:textId="77777777">
        <w:trPr>
          <w:cantSplit/>
          <w:jc w:val="center"/>
        </w:trPr>
        <w:tc>
          <w:tcPr>
            <w:tcW w:w="2891" w:type="dxa"/>
            <w:shd w:val="clear" w:color="auto" w:fill="FFFFFF"/>
            <w:tcMar>
              <w:top w:w="65" w:type="dxa"/>
              <w:left w:w="85" w:type="dxa"/>
              <w:bottom w:w="65" w:type="dxa"/>
              <w:right w:w="85" w:type="dxa"/>
            </w:tcMar>
            <w:vAlign w:val="center"/>
          </w:tcPr>
          <w:p w14:paraId="4CF3DDA4" w14:textId="77777777" w:rsidR="009F2E99" w:rsidRDefault="00000000">
            <w:pPr>
              <w:pStyle w:val="TableBody"/>
            </w:pPr>
            <w:r>
              <w:t>Альтернатива</w:t>
            </w:r>
          </w:p>
        </w:tc>
        <w:tc>
          <w:tcPr>
            <w:tcW w:w="6746" w:type="dxa"/>
            <w:shd w:val="clear" w:color="auto" w:fill="FFFFFF"/>
            <w:tcMar>
              <w:top w:w="65" w:type="dxa"/>
              <w:left w:w="85" w:type="dxa"/>
              <w:bottom w:w="65" w:type="dxa"/>
              <w:right w:w="85" w:type="dxa"/>
            </w:tcMar>
            <w:vAlign w:val="center"/>
          </w:tcPr>
          <w:p w14:paraId="428AC122" w14:textId="77777777" w:rsidR="009F2E99" w:rsidRDefault="00000000">
            <w:pPr>
              <w:pStyle w:val="TableBody"/>
            </w:pPr>
            <w:r>
              <w:t>Что еще объясняет картину?</w:t>
            </w:r>
          </w:p>
        </w:tc>
      </w:tr>
      <w:tr w:rsidR="009F2E99" w14:paraId="01B096D3" w14:textId="77777777">
        <w:trPr>
          <w:cantSplit/>
          <w:jc w:val="center"/>
        </w:trPr>
        <w:tc>
          <w:tcPr>
            <w:tcW w:w="2891" w:type="dxa"/>
            <w:shd w:val="clear" w:color="auto" w:fill="F0F5F7"/>
            <w:tcMar>
              <w:top w:w="65" w:type="dxa"/>
              <w:left w:w="85" w:type="dxa"/>
              <w:bottom w:w="65" w:type="dxa"/>
              <w:right w:w="85" w:type="dxa"/>
            </w:tcMar>
            <w:vAlign w:val="center"/>
          </w:tcPr>
          <w:p w14:paraId="4794EC40" w14:textId="77777777" w:rsidR="009F2E99" w:rsidRDefault="00000000">
            <w:pPr>
              <w:pStyle w:val="TableBody"/>
            </w:pPr>
            <w:r>
              <w:t>Ограничение</w:t>
            </w:r>
          </w:p>
        </w:tc>
        <w:tc>
          <w:tcPr>
            <w:tcW w:w="6746" w:type="dxa"/>
            <w:shd w:val="clear" w:color="auto" w:fill="F0F5F7"/>
            <w:tcMar>
              <w:top w:w="65" w:type="dxa"/>
              <w:left w:w="85" w:type="dxa"/>
              <w:bottom w:w="65" w:type="dxa"/>
              <w:right w:w="85" w:type="dxa"/>
            </w:tcMar>
            <w:vAlign w:val="center"/>
          </w:tcPr>
          <w:p w14:paraId="373830B0" w14:textId="77777777" w:rsidR="009F2E99" w:rsidRDefault="00000000">
            <w:pPr>
              <w:pStyle w:val="TableBody"/>
            </w:pPr>
            <w:r>
              <w:t>При каких условиях вывод не переносится?</w:t>
            </w:r>
          </w:p>
        </w:tc>
      </w:tr>
    </w:tbl>
    <w:p w14:paraId="6E96C9AF" w14:textId="77777777" w:rsidR="009F2E99" w:rsidRDefault="009F2E99">
      <w:pPr>
        <w:spacing w:after="0" w:line="60" w:lineRule="exact"/>
      </w:pPr>
    </w:p>
    <w:p w14:paraId="14999645" w14:textId="77777777" w:rsidR="00155767" w:rsidRDefault="00155767">
      <w:pPr>
        <w:pStyle w:val="21"/>
      </w:pPr>
    </w:p>
    <w:p w14:paraId="29C41EC9" w14:textId="09AB8853" w:rsidR="009F2E99" w:rsidRDefault="00000000">
      <w:pPr>
        <w:pStyle w:val="21"/>
      </w:pPr>
      <w:r>
        <w:t>Важные различия</w:t>
      </w:r>
    </w:p>
    <w:p w14:paraId="63DDD843" w14:textId="77777777" w:rsidR="009F2E99" w:rsidRDefault="00000000">
      <w:r>
        <w:t>Отсутствие подтверждения и подтверждение отсутствия — не одно и то же. Если нет данных о жалобах, нельзя автоматически считать клиентов довольными. Канал обратной связи мог быть недоступен. Аналогично отсутствие обнаруженного дефекта в ограниченном тесте не доказывает безусловной надежности системы.</w:t>
      </w:r>
    </w:p>
    <w:p w14:paraId="50BE7AF9" w14:textId="77777777" w:rsidR="009F2E99" w:rsidRDefault="00000000">
      <w:r>
        <w:t>Ссылки на авторитет и популярность не заменяют проверку. Опыт известной компании может дать гипотезу, но не гарантирует результат другой организации. Большое число упоминаний, восходящих к одному исследованию, не создает независимой доказательной базы.</w:t>
      </w:r>
    </w:p>
    <w:p w14:paraId="36808D3B" w14:textId="77777777" w:rsidR="009F2E99" w:rsidRDefault="00000000">
      <w:r>
        <w:t>Для важного тезиса полезно заполнить отдельную карточку из пяти элементов. Если хотя бы одно поле остается пустым, это не обязательно делает вывод неверным, но показывает, какую проверку нужно выполнить или какое слово ослабить перед публикацией.</w:t>
      </w:r>
    </w:p>
    <w:p w14:paraId="7CB6E40D" w14:textId="77777777" w:rsidR="009F2E99" w:rsidRDefault="00000000">
      <w:r>
        <w:br w:type="page"/>
      </w:r>
    </w:p>
    <w:p w14:paraId="0F57BBD7" w14:textId="77777777" w:rsidR="009F2E99" w:rsidRDefault="00000000">
      <w:pPr>
        <w:pStyle w:val="1"/>
      </w:pPr>
      <w:r>
        <w:lastRenderedPageBreak/>
        <w:t>2. Логические ошибки и проверка альтернатив</w:t>
      </w:r>
    </w:p>
    <w:p w14:paraId="33CDD6FC" w14:textId="77777777" w:rsidR="009F2E99" w:rsidRDefault="00000000">
      <w:r>
        <w:t>Типичная ошибка — ложная дилемма: «или запускаем новую систему сейчас, или отказываемся от развития». Между крайностями могут существовать ограниченный пилот, перенос, изменение объема и иной поставщик. Хороший материал делает реальные альтернативы видимыми.</w:t>
      </w:r>
    </w:p>
    <w:p w14:paraId="7ABD5E01" w14:textId="77777777" w:rsidR="009F2E99" w:rsidRDefault="00000000">
      <w:r>
        <w:t>Другая ошибка — подмена результата показателем. Рост регистраций может сопровождаться снижением использования. Если цель — завершение занятия, число созданных учетных записей остается промежуточным признаком. Его удобство для измерения не оправдывает замену конечной задачи.</w:t>
      </w:r>
    </w:p>
    <w:p w14:paraId="5BA6C7C2" w14:textId="77777777" w:rsidR="00155767" w:rsidRDefault="00155767"/>
    <w:tbl>
      <w:tblPr>
        <w:tblW w:w="0" w:type="auto"/>
        <w:jc w:val="center"/>
        <w:tblLayout w:type="fixed"/>
        <w:tblLook w:val="04A0" w:firstRow="1" w:lastRow="0" w:firstColumn="1" w:lastColumn="0" w:noHBand="0" w:noVBand="1"/>
      </w:tblPr>
      <w:tblGrid>
        <w:gridCol w:w="2891"/>
        <w:gridCol w:w="6746"/>
      </w:tblGrid>
      <w:tr w:rsidR="009F2E99" w14:paraId="15503381" w14:textId="77777777">
        <w:trPr>
          <w:cantSplit/>
          <w:tblHeader/>
          <w:jc w:val="center"/>
        </w:trPr>
        <w:tc>
          <w:tcPr>
            <w:tcW w:w="2891" w:type="dxa"/>
            <w:shd w:val="clear" w:color="auto" w:fill="173B50"/>
            <w:tcMar>
              <w:top w:w="65" w:type="dxa"/>
              <w:left w:w="85" w:type="dxa"/>
              <w:bottom w:w="65" w:type="dxa"/>
              <w:right w:w="85" w:type="dxa"/>
            </w:tcMar>
            <w:vAlign w:val="center"/>
          </w:tcPr>
          <w:p w14:paraId="4DCC521C" w14:textId="77777777" w:rsidR="009F2E99" w:rsidRDefault="00000000">
            <w:pPr>
              <w:pStyle w:val="TableBody"/>
            </w:pPr>
            <w:r>
              <w:rPr>
                <w:b/>
                <w:color w:val="FFFFFF"/>
              </w:rPr>
              <w:t>Необоснованная запись</w:t>
            </w:r>
          </w:p>
        </w:tc>
        <w:tc>
          <w:tcPr>
            <w:tcW w:w="6746" w:type="dxa"/>
            <w:shd w:val="clear" w:color="auto" w:fill="173B50"/>
            <w:tcMar>
              <w:top w:w="65" w:type="dxa"/>
              <w:left w:w="85" w:type="dxa"/>
              <w:bottom w:w="65" w:type="dxa"/>
              <w:right w:w="85" w:type="dxa"/>
            </w:tcMar>
            <w:vAlign w:val="center"/>
          </w:tcPr>
          <w:p w14:paraId="3276DEDB" w14:textId="77777777" w:rsidR="009F2E99" w:rsidRDefault="00000000">
            <w:pPr>
              <w:pStyle w:val="TableBody"/>
            </w:pPr>
            <w:r>
              <w:rPr>
                <w:b/>
                <w:color w:val="FFFFFF"/>
              </w:rPr>
              <w:t>Вопрос для проверки</w:t>
            </w:r>
          </w:p>
        </w:tc>
      </w:tr>
      <w:tr w:rsidR="009F2E99" w14:paraId="3B7781B0" w14:textId="77777777">
        <w:trPr>
          <w:cantSplit/>
          <w:jc w:val="center"/>
        </w:trPr>
        <w:tc>
          <w:tcPr>
            <w:tcW w:w="2891" w:type="dxa"/>
            <w:shd w:val="clear" w:color="auto" w:fill="F0F5F7"/>
            <w:tcMar>
              <w:top w:w="65" w:type="dxa"/>
              <w:left w:w="85" w:type="dxa"/>
              <w:bottom w:w="65" w:type="dxa"/>
              <w:right w:w="85" w:type="dxa"/>
            </w:tcMar>
            <w:vAlign w:val="center"/>
          </w:tcPr>
          <w:p w14:paraId="40D49B54" w14:textId="77777777" w:rsidR="009F2E99" w:rsidRDefault="00000000">
            <w:pPr>
              <w:pStyle w:val="TableBody"/>
            </w:pPr>
            <w:r>
              <w:t>После изменения стало лучше</w:t>
            </w:r>
          </w:p>
        </w:tc>
        <w:tc>
          <w:tcPr>
            <w:tcW w:w="6746" w:type="dxa"/>
            <w:shd w:val="clear" w:color="auto" w:fill="F0F5F7"/>
            <w:tcMar>
              <w:top w:w="65" w:type="dxa"/>
              <w:left w:w="85" w:type="dxa"/>
              <w:bottom w:w="65" w:type="dxa"/>
              <w:right w:w="85" w:type="dxa"/>
            </w:tcMar>
            <w:vAlign w:val="center"/>
          </w:tcPr>
          <w:p w14:paraId="3757B996" w14:textId="77777777" w:rsidR="009F2E99" w:rsidRDefault="00000000">
            <w:pPr>
              <w:pStyle w:val="TableBody"/>
            </w:pPr>
            <w:r>
              <w:t>Что еще изменилось одновременно?</w:t>
            </w:r>
          </w:p>
        </w:tc>
      </w:tr>
      <w:tr w:rsidR="009F2E99" w14:paraId="3F745DA7" w14:textId="77777777">
        <w:trPr>
          <w:cantSplit/>
          <w:jc w:val="center"/>
        </w:trPr>
        <w:tc>
          <w:tcPr>
            <w:tcW w:w="2891" w:type="dxa"/>
            <w:shd w:val="clear" w:color="auto" w:fill="FFFFFF"/>
            <w:tcMar>
              <w:top w:w="65" w:type="dxa"/>
              <w:left w:w="85" w:type="dxa"/>
              <w:bottom w:w="65" w:type="dxa"/>
              <w:right w:w="85" w:type="dxa"/>
            </w:tcMar>
            <w:vAlign w:val="center"/>
          </w:tcPr>
          <w:p w14:paraId="72B720BD" w14:textId="77777777" w:rsidR="009F2E99" w:rsidRDefault="00000000">
            <w:pPr>
              <w:pStyle w:val="TableBody"/>
            </w:pPr>
            <w:r>
              <w:t>Так делают лидеры рынка</w:t>
            </w:r>
          </w:p>
        </w:tc>
        <w:tc>
          <w:tcPr>
            <w:tcW w:w="6746" w:type="dxa"/>
            <w:shd w:val="clear" w:color="auto" w:fill="FFFFFF"/>
            <w:tcMar>
              <w:top w:w="65" w:type="dxa"/>
              <w:left w:w="85" w:type="dxa"/>
              <w:bottom w:w="65" w:type="dxa"/>
              <w:right w:w="85" w:type="dxa"/>
            </w:tcMar>
            <w:vAlign w:val="center"/>
          </w:tcPr>
          <w:p w14:paraId="766FF0C3" w14:textId="77777777" w:rsidR="009F2E99" w:rsidRDefault="00000000">
            <w:pPr>
              <w:pStyle w:val="TableBody"/>
            </w:pPr>
            <w:r>
              <w:t>Совпадают ли ресурсы и задача?</w:t>
            </w:r>
          </w:p>
        </w:tc>
      </w:tr>
      <w:tr w:rsidR="009F2E99" w14:paraId="168BAC0A" w14:textId="77777777">
        <w:trPr>
          <w:cantSplit/>
          <w:jc w:val="center"/>
        </w:trPr>
        <w:tc>
          <w:tcPr>
            <w:tcW w:w="2891" w:type="dxa"/>
            <w:shd w:val="clear" w:color="auto" w:fill="F0F5F7"/>
            <w:tcMar>
              <w:top w:w="65" w:type="dxa"/>
              <w:left w:w="85" w:type="dxa"/>
              <w:bottom w:w="65" w:type="dxa"/>
              <w:right w:w="85" w:type="dxa"/>
            </w:tcMar>
            <w:vAlign w:val="center"/>
          </w:tcPr>
          <w:p w14:paraId="6E39B066" w14:textId="77777777" w:rsidR="009F2E99" w:rsidRDefault="00000000">
            <w:pPr>
              <w:pStyle w:val="TableBody"/>
            </w:pPr>
            <w:r>
              <w:t>Нужен только один вариант</w:t>
            </w:r>
          </w:p>
        </w:tc>
        <w:tc>
          <w:tcPr>
            <w:tcW w:w="6746" w:type="dxa"/>
            <w:shd w:val="clear" w:color="auto" w:fill="F0F5F7"/>
            <w:tcMar>
              <w:top w:w="65" w:type="dxa"/>
              <w:left w:w="85" w:type="dxa"/>
              <w:bottom w:w="65" w:type="dxa"/>
              <w:right w:w="85" w:type="dxa"/>
            </w:tcMar>
            <w:vAlign w:val="center"/>
          </w:tcPr>
          <w:p w14:paraId="36312600" w14:textId="77777777" w:rsidR="009F2E99" w:rsidRDefault="00000000">
            <w:pPr>
              <w:pStyle w:val="TableBody"/>
            </w:pPr>
            <w:r>
              <w:t>Есть ли промежуточные альтернативы?</w:t>
            </w:r>
          </w:p>
        </w:tc>
      </w:tr>
      <w:tr w:rsidR="009F2E99" w14:paraId="04EE0629" w14:textId="77777777">
        <w:trPr>
          <w:cantSplit/>
          <w:jc w:val="center"/>
        </w:trPr>
        <w:tc>
          <w:tcPr>
            <w:tcW w:w="2891" w:type="dxa"/>
            <w:shd w:val="clear" w:color="auto" w:fill="FFFFFF"/>
            <w:tcMar>
              <w:top w:w="65" w:type="dxa"/>
              <w:left w:w="85" w:type="dxa"/>
              <w:bottom w:w="65" w:type="dxa"/>
              <w:right w:w="85" w:type="dxa"/>
            </w:tcMar>
            <w:vAlign w:val="center"/>
          </w:tcPr>
          <w:p w14:paraId="0753AD8A" w14:textId="77777777" w:rsidR="009F2E99" w:rsidRDefault="00000000">
            <w:pPr>
              <w:pStyle w:val="TableBody"/>
            </w:pPr>
            <w:r>
              <w:t>Жалоб нет, значит проблем нет</w:t>
            </w:r>
          </w:p>
        </w:tc>
        <w:tc>
          <w:tcPr>
            <w:tcW w:w="6746" w:type="dxa"/>
            <w:shd w:val="clear" w:color="auto" w:fill="FFFFFF"/>
            <w:tcMar>
              <w:top w:w="65" w:type="dxa"/>
              <w:left w:w="85" w:type="dxa"/>
              <w:bottom w:w="65" w:type="dxa"/>
              <w:right w:w="85" w:type="dxa"/>
            </w:tcMar>
            <w:vAlign w:val="center"/>
          </w:tcPr>
          <w:p w14:paraId="30353990" w14:textId="77777777" w:rsidR="009F2E99" w:rsidRDefault="00000000">
            <w:pPr>
              <w:pStyle w:val="TableBody"/>
            </w:pPr>
            <w:r>
              <w:t>Доступен ли канал и кто отвечает?</w:t>
            </w:r>
          </w:p>
        </w:tc>
      </w:tr>
      <w:tr w:rsidR="009F2E99" w14:paraId="4B1224E4" w14:textId="77777777">
        <w:trPr>
          <w:cantSplit/>
          <w:jc w:val="center"/>
        </w:trPr>
        <w:tc>
          <w:tcPr>
            <w:tcW w:w="2891" w:type="dxa"/>
            <w:shd w:val="clear" w:color="auto" w:fill="F0F5F7"/>
            <w:tcMar>
              <w:top w:w="65" w:type="dxa"/>
              <w:left w:w="85" w:type="dxa"/>
              <w:bottom w:w="65" w:type="dxa"/>
              <w:right w:w="85" w:type="dxa"/>
            </w:tcMar>
            <w:vAlign w:val="center"/>
          </w:tcPr>
          <w:p w14:paraId="3A6EF2E4" w14:textId="77777777" w:rsidR="009F2E99" w:rsidRDefault="00000000">
            <w:pPr>
              <w:pStyle w:val="TableBody"/>
            </w:pPr>
            <w:r>
              <w:t>Уже много вложено, нужно продолжать</w:t>
            </w:r>
          </w:p>
        </w:tc>
        <w:tc>
          <w:tcPr>
            <w:tcW w:w="6746" w:type="dxa"/>
            <w:shd w:val="clear" w:color="auto" w:fill="F0F5F7"/>
            <w:tcMar>
              <w:top w:w="65" w:type="dxa"/>
              <w:left w:w="85" w:type="dxa"/>
              <w:bottom w:w="65" w:type="dxa"/>
              <w:right w:w="85" w:type="dxa"/>
            </w:tcMar>
            <w:vAlign w:val="center"/>
          </w:tcPr>
          <w:p w14:paraId="4D68DDCF" w14:textId="77777777" w:rsidR="009F2E99" w:rsidRDefault="00000000">
            <w:pPr>
              <w:pStyle w:val="TableBody"/>
            </w:pPr>
            <w:r>
              <w:t>Каковы будущие затраты и выгоды?</w:t>
            </w:r>
          </w:p>
        </w:tc>
      </w:tr>
    </w:tbl>
    <w:p w14:paraId="121E1EBD" w14:textId="77777777" w:rsidR="009F2E99" w:rsidRDefault="009F2E99">
      <w:pPr>
        <w:spacing w:after="0" w:line="60" w:lineRule="exact"/>
      </w:pPr>
    </w:p>
    <w:p w14:paraId="42B48A89" w14:textId="77777777" w:rsidR="00155767" w:rsidRDefault="00155767">
      <w:pPr>
        <w:pStyle w:val="21"/>
      </w:pPr>
    </w:p>
    <w:p w14:paraId="288DFF52" w14:textId="284A3A8A" w:rsidR="009F2E99" w:rsidRDefault="00000000">
      <w:pPr>
        <w:pStyle w:val="21"/>
      </w:pPr>
      <w:r>
        <w:t>Проверка неприятного результата</w:t>
      </w:r>
    </w:p>
    <w:p w14:paraId="6A88AB47" w14:textId="77777777" w:rsidR="009F2E99" w:rsidRDefault="00000000">
      <w:r>
        <w:t>Спросите, какое наблюдение заставило бы отказаться от тезиса. Если любой результат объявляется подтверждением, утверждение не помогает выбирать действие. Например, рост жалоб трактуется как активность пользователей, а снижение — как удовлетворенность; без дополнительного критерия успех становится неопровержимым.</w:t>
      </w:r>
    </w:p>
    <w:p w14:paraId="181FAF5E" w14:textId="77777777" w:rsidR="009F2E99" w:rsidRDefault="00000000">
      <w:r>
        <w:t>Не все альтернативы одинаково правдоподобны. Их оценивают по согласованности со свидетельствами и необходимым допущениям. Цель не в бесконечном перечислении возможностей, а в проверке тех, которые действительно меняют рекомендацию.</w:t>
      </w:r>
    </w:p>
    <w:p w14:paraId="12976432" w14:textId="77777777" w:rsidR="009F2E99" w:rsidRDefault="00000000">
      <w:r>
        <w:t>Перед выводом полезно провести короткую рецензию от противоположной позиции. Автор второго мнения не должен выдумывать факты: его задача — найти непроверенные переходы и важные исключения. В результате тезис может сохраниться, но стать точнее и устойчивее к критике.</w:t>
      </w:r>
    </w:p>
    <w:p w14:paraId="54EB8ABC" w14:textId="77777777" w:rsidR="009F2E99" w:rsidRDefault="00000000">
      <w:r>
        <w:br w:type="page"/>
      </w:r>
    </w:p>
    <w:p w14:paraId="6B362D74" w14:textId="77777777" w:rsidR="009F2E99" w:rsidRDefault="00000000">
      <w:pPr>
        <w:pStyle w:val="1"/>
      </w:pPr>
      <w:r>
        <w:lastRenderedPageBreak/>
        <w:t>3. Реальный кейс: Columbia и технический вывод</w:t>
      </w:r>
    </w:p>
    <w:p w14:paraId="187AAF35" w14:textId="77777777" w:rsidR="009F2E99" w:rsidRDefault="00000000">
      <w:r>
        <w:t>В отчете Columbia Accident Investigation Board 2003 года, том I, глава 7, печатная страница 191, анализируется передача технических сведений через слайды [1]. Комиссия обратила внимание на иерархию кратких пунктов, двусмысленность формулировок и недостаточную заметность ограничений примененной модели. Рассматривалась, в частности, экстраполяция за пределы условий, на которых модель проверялась. Этот фрагмент не означает, что формат презентации был единственной причиной катастрофы.</w:t>
      </w:r>
    </w:p>
    <w:p w14:paraId="35A045AB" w14:textId="77777777" w:rsidR="009F2E99" w:rsidRDefault="00000000">
      <w:pPr>
        <w:pStyle w:val="21"/>
      </w:pPr>
      <w:r>
        <w:t>Управленческий смысл ограничения</w:t>
      </w:r>
    </w:p>
    <w:p w14:paraId="609D7A8D" w14:textId="77777777" w:rsidR="009F2E99" w:rsidRDefault="00000000">
      <w:r>
        <w:t>Оговорка о диапазоне применимости может быть важнее среднего прогнозного значения. Если ее спрятать в нижнем пункте, читатель получит более уверенный вывод, чем допускает расчет. Формально присутствующая информация еще не гарантирует корректно расставленных приоритетов.</w:t>
      </w:r>
    </w:p>
    <w:p w14:paraId="0C6C10E8" w14:textId="77777777" w:rsidR="00155767" w:rsidRDefault="00155767"/>
    <w:tbl>
      <w:tblPr>
        <w:tblW w:w="0" w:type="auto"/>
        <w:jc w:val="center"/>
        <w:tblLayout w:type="fixed"/>
        <w:tblLook w:val="04A0" w:firstRow="1" w:lastRow="0" w:firstColumn="1" w:lastColumn="0" w:noHBand="0" w:noVBand="1"/>
      </w:tblPr>
      <w:tblGrid>
        <w:gridCol w:w="2891"/>
        <w:gridCol w:w="6746"/>
      </w:tblGrid>
      <w:tr w:rsidR="009F2E99" w14:paraId="0C4A8601" w14:textId="77777777">
        <w:trPr>
          <w:cantSplit/>
          <w:tblHeader/>
          <w:jc w:val="center"/>
        </w:trPr>
        <w:tc>
          <w:tcPr>
            <w:tcW w:w="2891" w:type="dxa"/>
            <w:shd w:val="clear" w:color="auto" w:fill="173B50"/>
            <w:tcMar>
              <w:top w:w="65" w:type="dxa"/>
              <w:left w:w="85" w:type="dxa"/>
              <w:bottom w:w="65" w:type="dxa"/>
              <w:right w:w="85" w:type="dxa"/>
            </w:tcMar>
            <w:vAlign w:val="center"/>
          </w:tcPr>
          <w:p w14:paraId="14734D5D" w14:textId="77777777" w:rsidR="009F2E99" w:rsidRDefault="00000000">
            <w:pPr>
              <w:pStyle w:val="TableBody"/>
            </w:pPr>
            <w:r>
              <w:rPr>
                <w:b/>
                <w:color w:val="FFFFFF"/>
              </w:rPr>
              <w:t>Проблема сообщения</w:t>
            </w:r>
          </w:p>
        </w:tc>
        <w:tc>
          <w:tcPr>
            <w:tcW w:w="6746" w:type="dxa"/>
            <w:shd w:val="clear" w:color="auto" w:fill="173B50"/>
            <w:tcMar>
              <w:top w:w="65" w:type="dxa"/>
              <w:left w:w="85" w:type="dxa"/>
              <w:bottom w:w="65" w:type="dxa"/>
              <w:right w:w="85" w:type="dxa"/>
            </w:tcMar>
            <w:vAlign w:val="center"/>
          </w:tcPr>
          <w:p w14:paraId="266BAFF8" w14:textId="77777777" w:rsidR="009F2E99" w:rsidRDefault="00000000">
            <w:pPr>
              <w:pStyle w:val="TableBody"/>
            </w:pPr>
            <w:r>
              <w:rPr>
                <w:b/>
                <w:color w:val="FFFFFF"/>
              </w:rPr>
              <w:t>Учебный способ исправления</w:t>
            </w:r>
          </w:p>
        </w:tc>
      </w:tr>
      <w:tr w:rsidR="009F2E99" w14:paraId="0B2B1872" w14:textId="77777777">
        <w:trPr>
          <w:cantSplit/>
          <w:jc w:val="center"/>
        </w:trPr>
        <w:tc>
          <w:tcPr>
            <w:tcW w:w="2891" w:type="dxa"/>
            <w:shd w:val="clear" w:color="auto" w:fill="F0F5F7"/>
            <w:tcMar>
              <w:top w:w="65" w:type="dxa"/>
              <w:left w:w="85" w:type="dxa"/>
              <w:bottom w:w="65" w:type="dxa"/>
              <w:right w:w="85" w:type="dxa"/>
            </w:tcMar>
            <w:vAlign w:val="center"/>
          </w:tcPr>
          <w:p w14:paraId="22037DBA" w14:textId="77777777" w:rsidR="009F2E99" w:rsidRDefault="00000000">
            <w:pPr>
              <w:pStyle w:val="TableBody"/>
            </w:pPr>
            <w:r>
              <w:t>Неясно, к чему относится вывод</w:t>
            </w:r>
          </w:p>
        </w:tc>
        <w:tc>
          <w:tcPr>
            <w:tcW w:w="6746" w:type="dxa"/>
            <w:shd w:val="clear" w:color="auto" w:fill="F0F5F7"/>
            <w:tcMar>
              <w:top w:w="65" w:type="dxa"/>
              <w:left w:w="85" w:type="dxa"/>
              <w:bottom w:w="65" w:type="dxa"/>
              <w:right w:w="85" w:type="dxa"/>
            </w:tcMar>
            <w:vAlign w:val="center"/>
          </w:tcPr>
          <w:p w14:paraId="7AFB063C" w14:textId="77777777" w:rsidR="009F2E99" w:rsidRDefault="00000000">
            <w:pPr>
              <w:pStyle w:val="TableBody"/>
            </w:pPr>
            <w:r>
              <w:t>Назвать объект и проверенный диапазон</w:t>
            </w:r>
          </w:p>
        </w:tc>
      </w:tr>
      <w:tr w:rsidR="009F2E99" w14:paraId="0C242677" w14:textId="77777777">
        <w:trPr>
          <w:cantSplit/>
          <w:jc w:val="center"/>
        </w:trPr>
        <w:tc>
          <w:tcPr>
            <w:tcW w:w="2891" w:type="dxa"/>
            <w:shd w:val="clear" w:color="auto" w:fill="FFFFFF"/>
            <w:tcMar>
              <w:top w:w="65" w:type="dxa"/>
              <w:left w:w="85" w:type="dxa"/>
              <w:bottom w:w="65" w:type="dxa"/>
              <w:right w:w="85" w:type="dxa"/>
            </w:tcMar>
            <w:vAlign w:val="center"/>
          </w:tcPr>
          <w:p w14:paraId="0F558F94" w14:textId="77777777" w:rsidR="009F2E99" w:rsidRDefault="00000000">
            <w:pPr>
              <w:pStyle w:val="TableBody"/>
            </w:pPr>
            <w:r>
              <w:t>Ограничение скрыто в конце</w:t>
            </w:r>
          </w:p>
        </w:tc>
        <w:tc>
          <w:tcPr>
            <w:tcW w:w="6746" w:type="dxa"/>
            <w:shd w:val="clear" w:color="auto" w:fill="FFFFFF"/>
            <w:tcMar>
              <w:top w:w="65" w:type="dxa"/>
              <w:left w:w="85" w:type="dxa"/>
              <w:bottom w:w="65" w:type="dxa"/>
              <w:right w:w="85" w:type="dxa"/>
            </w:tcMar>
            <w:vAlign w:val="center"/>
          </w:tcPr>
          <w:p w14:paraId="6071E327" w14:textId="77777777" w:rsidR="009F2E99" w:rsidRDefault="00000000">
            <w:pPr>
              <w:pStyle w:val="TableBody"/>
            </w:pPr>
            <w:r>
              <w:t>Поставить его рядом с основным тезисом</w:t>
            </w:r>
          </w:p>
        </w:tc>
      </w:tr>
      <w:tr w:rsidR="009F2E99" w14:paraId="476EF1BF" w14:textId="77777777">
        <w:trPr>
          <w:cantSplit/>
          <w:jc w:val="center"/>
        </w:trPr>
        <w:tc>
          <w:tcPr>
            <w:tcW w:w="2891" w:type="dxa"/>
            <w:shd w:val="clear" w:color="auto" w:fill="F0F5F7"/>
            <w:tcMar>
              <w:top w:w="65" w:type="dxa"/>
              <w:left w:w="85" w:type="dxa"/>
              <w:bottom w:w="65" w:type="dxa"/>
              <w:right w:w="85" w:type="dxa"/>
            </w:tcMar>
            <w:vAlign w:val="center"/>
          </w:tcPr>
          <w:p w14:paraId="61E447CB" w14:textId="77777777" w:rsidR="009F2E99" w:rsidRDefault="00000000">
            <w:pPr>
              <w:pStyle w:val="TableBody"/>
            </w:pPr>
            <w:r>
              <w:t>«Значительный» без смысла</w:t>
            </w:r>
          </w:p>
        </w:tc>
        <w:tc>
          <w:tcPr>
            <w:tcW w:w="6746" w:type="dxa"/>
            <w:shd w:val="clear" w:color="auto" w:fill="F0F5F7"/>
            <w:tcMar>
              <w:top w:w="65" w:type="dxa"/>
              <w:left w:w="85" w:type="dxa"/>
              <w:bottom w:w="65" w:type="dxa"/>
              <w:right w:w="85" w:type="dxa"/>
            </w:tcMar>
            <w:vAlign w:val="center"/>
          </w:tcPr>
          <w:p w14:paraId="0DA3292A" w14:textId="77777777" w:rsidR="009F2E99" w:rsidRDefault="00000000">
            <w:pPr>
              <w:pStyle w:val="TableBody"/>
            </w:pPr>
            <w:r>
              <w:t>Указать единицу и критерий значимости</w:t>
            </w:r>
          </w:p>
        </w:tc>
      </w:tr>
      <w:tr w:rsidR="009F2E99" w14:paraId="49F52430" w14:textId="77777777">
        <w:trPr>
          <w:cantSplit/>
          <w:jc w:val="center"/>
        </w:trPr>
        <w:tc>
          <w:tcPr>
            <w:tcW w:w="2891" w:type="dxa"/>
            <w:shd w:val="clear" w:color="auto" w:fill="FFFFFF"/>
            <w:tcMar>
              <w:top w:w="65" w:type="dxa"/>
              <w:left w:w="85" w:type="dxa"/>
              <w:bottom w:w="65" w:type="dxa"/>
              <w:right w:w="85" w:type="dxa"/>
            </w:tcMar>
            <w:vAlign w:val="center"/>
          </w:tcPr>
          <w:p w14:paraId="063CFCCA" w14:textId="77777777" w:rsidR="009F2E99" w:rsidRDefault="00000000">
            <w:pPr>
              <w:pStyle w:val="TableBody"/>
            </w:pPr>
            <w:r>
              <w:t>Смешаны уверенность и рекомендация</w:t>
            </w:r>
          </w:p>
        </w:tc>
        <w:tc>
          <w:tcPr>
            <w:tcW w:w="6746" w:type="dxa"/>
            <w:shd w:val="clear" w:color="auto" w:fill="FFFFFF"/>
            <w:tcMar>
              <w:top w:w="65" w:type="dxa"/>
              <w:left w:w="85" w:type="dxa"/>
              <w:bottom w:w="65" w:type="dxa"/>
              <w:right w:w="85" w:type="dxa"/>
            </w:tcMar>
            <w:vAlign w:val="center"/>
          </w:tcPr>
          <w:p w14:paraId="6CBA8109" w14:textId="77777777" w:rsidR="009F2E99" w:rsidRDefault="00000000">
            <w:pPr>
              <w:pStyle w:val="TableBody"/>
            </w:pPr>
            <w:r>
              <w:t>Отделить расчет от решения о дальнейшей проверке</w:t>
            </w:r>
          </w:p>
        </w:tc>
      </w:tr>
    </w:tbl>
    <w:p w14:paraId="5C7A3142" w14:textId="77777777" w:rsidR="009F2E99" w:rsidRDefault="009F2E99">
      <w:pPr>
        <w:spacing w:after="0" w:line="60" w:lineRule="exact"/>
      </w:pPr>
    </w:p>
    <w:p w14:paraId="7DEBE3F7" w14:textId="77777777" w:rsidR="00155767" w:rsidRDefault="00155767">
      <w:pPr>
        <w:pStyle w:val="21"/>
      </w:pPr>
    </w:p>
    <w:p w14:paraId="56C0996D" w14:textId="28D13BB2" w:rsidR="009F2E99" w:rsidRDefault="00000000">
      <w:pPr>
        <w:pStyle w:val="21"/>
      </w:pPr>
      <w:r>
        <w:t>Авторский пример, не историческая цитата</w:t>
      </w:r>
    </w:p>
    <w:p w14:paraId="35CACC61" w14:textId="77777777" w:rsidR="009F2E99" w:rsidRDefault="00000000">
      <w:r>
        <w:t>Слабая версия: «Модель показывает приемлемый результат; имеются некоторые ограничения».</w:t>
      </w:r>
    </w:p>
    <w:p w14:paraId="400F80A7" w14:textId="77777777" w:rsidR="009F2E99" w:rsidRDefault="00000000">
      <w:r>
        <w:t>Проверяемая версия: «Модель была проверена для другого диапазона условий. Ее расчет не дает достаточного основания подтвердить безопасность рассматриваемого случая. Необходима дополнительная проверка; до нее результат следует считать ограниченным сценарием, а не подтверждением».</w:t>
      </w:r>
    </w:p>
    <w:p w14:paraId="2DC75139" w14:textId="77777777" w:rsidR="009F2E99" w:rsidRDefault="00000000">
      <w:r>
        <w:t>Здесь не воспроизводится текст реального технического заключения. Это учебная переработка общего принципа: существенная граница должна менять силу и порядок сообщения. Сокращение ради слайда не должно стирать ее.</w:t>
      </w:r>
    </w:p>
    <w:p w14:paraId="5283C748" w14:textId="77777777" w:rsidR="009F2E99" w:rsidRDefault="00000000">
      <w:r>
        <w:t>Для нашего центра аналогичная ошибка возникает при переносе результата небольшого пилота на всех будущих слушателей без учета других программ. Масштаб последствий иной, но логический вопрос тот же: соответствует ли область вывода области проверенного основания?</w:t>
      </w:r>
    </w:p>
    <w:p w14:paraId="2480EB40" w14:textId="77777777" w:rsidR="009F2E99" w:rsidRDefault="00000000">
      <w:r>
        <w:br w:type="page"/>
      </w:r>
    </w:p>
    <w:p w14:paraId="00CDC4C7" w14:textId="77777777" w:rsidR="009F2E99" w:rsidRDefault="00000000">
      <w:pPr>
        <w:pStyle w:val="1"/>
      </w:pPr>
      <w:r>
        <w:lastRenderedPageBreak/>
        <w:t>4. Язык неопределенности и сценарии</w:t>
      </w:r>
    </w:p>
    <w:p w14:paraId="7102C78E" w14:textId="77777777" w:rsidR="009F2E99" w:rsidRDefault="00000000">
      <w:r>
        <w:t>Неопределенность бывает связана с неполнотой данных, ошибками измерения, случайностью выборки, моделью и будущими условиями. Общая фраза «есть риски» мало помогает. Нужно назвать источник неопределенности, возможное влияние и способ дальнейшей проверки.</w:t>
      </w:r>
    </w:p>
    <w:p w14:paraId="12AE7472" w14:textId="77777777" w:rsidR="009F2E99" w:rsidRDefault="00000000">
      <w:r>
        <w:t>Руководство по коммуникации качества и неопределенности предлагает делать такие ограничения понятными пользователю анализа [2]. В курсе мы используем авторскую таблицу статусов, которая помогает различить наблюдение, расчет и предположение.</w:t>
      </w:r>
    </w:p>
    <w:p w14:paraId="4C3AC1BE" w14:textId="77777777" w:rsidR="00155767" w:rsidRDefault="00155767"/>
    <w:tbl>
      <w:tblPr>
        <w:tblW w:w="0" w:type="auto"/>
        <w:jc w:val="center"/>
        <w:tblLayout w:type="fixed"/>
        <w:tblLook w:val="04A0" w:firstRow="1" w:lastRow="0" w:firstColumn="1" w:lastColumn="0" w:noHBand="0" w:noVBand="1"/>
      </w:tblPr>
      <w:tblGrid>
        <w:gridCol w:w="2891"/>
        <w:gridCol w:w="6746"/>
      </w:tblGrid>
      <w:tr w:rsidR="009F2E99" w14:paraId="2962BA97" w14:textId="77777777">
        <w:trPr>
          <w:cantSplit/>
          <w:tblHeader/>
          <w:jc w:val="center"/>
        </w:trPr>
        <w:tc>
          <w:tcPr>
            <w:tcW w:w="2891" w:type="dxa"/>
            <w:shd w:val="clear" w:color="auto" w:fill="173B50"/>
            <w:tcMar>
              <w:top w:w="65" w:type="dxa"/>
              <w:left w:w="85" w:type="dxa"/>
              <w:bottom w:w="65" w:type="dxa"/>
              <w:right w:w="85" w:type="dxa"/>
            </w:tcMar>
            <w:vAlign w:val="center"/>
          </w:tcPr>
          <w:p w14:paraId="49B600F8" w14:textId="77777777" w:rsidR="009F2E99" w:rsidRDefault="00000000">
            <w:pPr>
              <w:pStyle w:val="TableBody"/>
            </w:pPr>
            <w:r>
              <w:rPr>
                <w:b/>
                <w:color w:val="FFFFFF"/>
              </w:rPr>
              <w:t>Статус</w:t>
            </w:r>
          </w:p>
        </w:tc>
        <w:tc>
          <w:tcPr>
            <w:tcW w:w="6746" w:type="dxa"/>
            <w:shd w:val="clear" w:color="auto" w:fill="173B50"/>
            <w:tcMar>
              <w:top w:w="65" w:type="dxa"/>
              <w:left w:w="85" w:type="dxa"/>
              <w:bottom w:w="65" w:type="dxa"/>
              <w:right w:w="85" w:type="dxa"/>
            </w:tcMar>
            <w:vAlign w:val="center"/>
          </w:tcPr>
          <w:p w14:paraId="665015D7" w14:textId="77777777" w:rsidR="009F2E99" w:rsidRDefault="00000000">
            <w:pPr>
              <w:pStyle w:val="TableBody"/>
            </w:pPr>
            <w:r>
              <w:rPr>
                <w:b/>
                <w:color w:val="FFFFFF"/>
              </w:rPr>
              <w:t>Пример формулировки</w:t>
            </w:r>
          </w:p>
        </w:tc>
      </w:tr>
      <w:tr w:rsidR="009F2E99" w14:paraId="66C5BF02" w14:textId="77777777">
        <w:trPr>
          <w:cantSplit/>
          <w:jc w:val="center"/>
        </w:trPr>
        <w:tc>
          <w:tcPr>
            <w:tcW w:w="2891" w:type="dxa"/>
            <w:shd w:val="clear" w:color="auto" w:fill="F0F5F7"/>
            <w:tcMar>
              <w:top w:w="65" w:type="dxa"/>
              <w:left w:w="85" w:type="dxa"/>
              <w:bottom w:w="65" w:type="dxa"/>
              <w:right w:w="85" w:type="dxa"/>
            </w:tcMar>
            <w:vAlign w:val="center"/>
          </w:tcPr>
          <w:p w14:paraId="4B9CF265" w14:textId="77777777" w:rsidR="009F2E99" w:rsidRDefault="00000000">
            <w:pPr>
              <w:pStyle w:val="TableBody"/>
            </w:pPr>
            <w:r>
              <w:t>Установлено по источнику</w:t>
            </w:r>
          </w:p>
        </w:tc>
        <w:tc>
          <w:tcPr>
            <w:tcW w:w="6746" w:type="dxa"/>
            <w:shd w:val="clear" w:color="auto" w:fill="F0F5F7"/>
            <w:tcMar>
              <w:top w:w="65" w:type="dxa"/>
              <w:left w:w="85" w:type="dxa"/>
              <w:bottom w:w="65" w:type="dxa"/>
              <w:right w:w="85" w:type="dxa"/>
            </w:tcMar>
            <w:vAlign w:val="center"/>
          </w:tcPr>
          <w:p w14:paraId="5F0BE7BA" w14:textId="77777777" w:rsidR="009F2E99" w:rsidRDefault="00000000">
            <w:pPr>
              <w:pStyle w:val="TableBody"/>
            </w:pPr>
            <w:r>
              <w:t>В журнале зарегистрировано 75 завершений</w:t>
            </w:r>
          </w:p>
        </w:tc>
      </w:tr>
      <w:tr w:rsidR="009F2E99" w14:paraId="41D9B1A2" w14:textId="77777777">
        <w:trPr>
          <w:cantSplit/>
          <w:jc w:val="center"/>
        </w:trPr>
        <w:tc>
          <w:tcPr>
            <w:tcW w:w="2891" w:type="dxa"/>
            <w:shd w:val="clear" w:color="auto" w:fill="FFFFFF"/>
            <w:tcMar>
              <w:top w:w="65" w:type="dxa"/>
              <w:left w:w="85" w:type="dxa"/>
              <w:bottom w:w="65" w:type="dxa"/>
              <w:right w:w="85" w:type="dxa"/>
            </w:tcMar>
            <w:vAlign w:val="center"/>
          </w:tcPr>
          <w:p w14:paraId="4B3D93E8" w14:textId="77777777" w:rsidR="009F2E99" w:rsidRDefault="00000000">
            <w:pPr>
              <w:pStyle w:val="TableBody"/>
            </w:pPr>
            <w:r>
              <w:t>Рассчитано при допущении</w:t>
            </w:r>
          </w:p>
        </w:tc>
        <w:tc>
          <w:tcPr>
            <w:tcW w:w="6746" w:type="dxa"/>
            <w:shd w:val="clear" w:color="auto" w:fill="FFFFFF"/>
            <w:tcMar>
              <w:top w:w="65" w:type="dxa"/>
              <w:left w:w="85" w:type="dxa"/>
              <w:bottom w:w="65" w:type="dxa"/>
              <w:right w:w="85" w:type="dxa"/>
            </w:tcMar>
            <w:vAlign w:val="center"/>
          </w:tcPr>
          <w:p w14:paraId="145FFF81" w14:textId="77777777" w:rsidR="009F2E99" w:rsidRDefault="00000000">
            <w:pPr>
              <w:pStyle w:val="TableBody"/>
            </w:pPr>
            <w:r>
              <w:t>При вкладе 5 000 тг получаем указанную сумму</w:t>
            </w:r>
          </w:p>
        </w:tc>
      </w:tr>
      <w:tr w:rsidR="009F2E99" w14:paraId="0F08DD56" w14:textId="77777777">
        <w:trPr>
          <w:cantSplit/>
          <w:jc w:val="center"/>
        </w:trPr>
        <w:tc>
          <w:tcPr>
            <w:tcW w:w="2891" w:type="dxa"/>
            <w:shd w:val="clear" w:color="auto" w:fill="F0F5F7"/>
            <w:tcMar>
              <w:top w:w="65" w:type="dxa"/>
              <w:left w:w="85" w:type="dxa"/>
              <w:bottom w:w="65" w:type="dxa"/>
              <w:right w:w="85" w:type="dxa"/>
            </w:tcMar>
            <w:vAlign w:val="center"/>
          </w:tcPr>
          <w:p w14:paraId="57806F6A" w14:textId="77777777" w:rsidR="009F2E99" w:rsidRDefault="00000000">
            <w:pPr>
              <w:pStyle w:val="TableBody"/>
            </w:pPr>
            <w:r>
              <w:t>Согласуется с гипотезой</w:t>
            </w:r>
          </w:p>
        </w:tc>
        <w:tc>
          <w:tcPr>
            <w:tcW w:w="6746" w:type="dxa"/>
            <w:shd w:val="clear" w:color="auto" w:fill="F0F5F7"/>
            <w:tcMar>
              <w:top w:w="65" w:type="dxa"/>
              <w:left w:w="85" w:type="dxa"/>
              <w:bottom w:w="65" w:type="dxa"/>
              <w:right w:w="85" w:type="dxa"/>
            </w:tcMar>
            <w:vAlign w:val="center"/>
          </w:tcPr>
          <w:p w14:paraId="753F0DFF" w14:textId="77777777" w:rsidR="009F2E99" w:rsidRDefault="00000000">
            <w:pPr>
              <w:pStyle w:val="TableBody"/>
            </w:pPr>
            <w:r>
              <w:t>Картина совместима с изменением состава потока</w:t>
            </w:r>
          </w:p>
        </w:tc>
      </w:tr>
      <w:tr w:rsidR="009F2E99" w14:paraId="304D80B8" w14:textId="77777777">
        <w:trPr>
          <w:cantSplit/>
          <w:jc w:val="center"/>
        </w:trPr>
        <w:tc>
          <w:tcPr>
            <w:tcW w:w="2891" w:type="dxa"/>
            <w:shd w:val="clear" w:color="auto" w:fill="FFFFFF"/>
            <w:tcMar>
              <w:top w:w="65" w:type="dxa"/>
              <w:left w:w="85" w:type="dxa"/>
              <w:bottom w:w="65" w:type="dxa"/>
              <w:right w:w="85" w:type="dxa"/>
            </w:tcMar>
            <w:vAlign w:val="center"/>
          </w:tcPr>
          <w:p w14:paraId="621FDCB8" w14:textId="77777777" w:rsidR="009F2E99" w:rsidRDefault="00000000">
            <w:pPr>
              <w:pStyle w:val="TableBody"/>
            </w:pPr>
            <w:r>
              <w:t>Не проверено</w:t>
            </w:r>
          </w:p>
        </w:tc>
        <w:tc>
          <w:tcPr>
            <w:tcW w:w="6746" w:type="dxa"/>
            <w:shd w:val="clear" w:color="auto" w:fill="FFFFFF"/>
            <w:tcMar>
              <w:top w:w="65" w:type="dxa"/>
              <w:left w:w="85" w:type="dxa"/>
              <w:bottom w:w="65" w:type="dxa"/>
              <w:right w:w="85" w:type="dxa"/>
            </w:tcMar>
            <w:vAlign w:val="center"/>
          </w:tcPr>
          <w:p w14:paraId="7B636CAF" w14:textId="77777777" w:rsidR="009F2E99" w:rsidRDefault="00000000">
            <w:pPr>
              <w:pStyle w:val="TableBody"/>
            </w:pPr>
            <w:r>
              <w:t>Нет данных для оценки причинного эффекта</w:t>
            </w:r>
          </w:p>
        </w:tc>
      </w:tr>
      <w:tr w:rsidR="009F2E99" w14:paraId="028527FC" w14:textId="77777777">
        <w:trPr>
          <w:cantSplit/>
          <w:jc w:val="center"/>
        </w:trPr>
        <w:tc>
          <w:tcPr>
            <w:tcW w:w="2891" w:type="dxa"/>
            <w:shd w:val="clear" w:color="auto" w:fill="F0F5F7"/>
            <w:tcMar>
              <w:top w:w="65" w:type="dxa"/>
              <w:left w:w="85" w:type="dxa"/>
              <w:bottom w:w="65" w:type="dxa"/>
              <w:right w:w="85" w:type="dxa"/>
            </w:tcMar>
            <w:vAlign w:val="center"/>
          </w:tcPr>
          <w:p w14:paraId="284FD229" w14:textId="77777777" w:rsidR="009F2E99" w:rsidRDefault="00000000">
            <w:pPr>
              <w:pStyle w:val="TableBody"/>
            </w:pPr>
            <w:r>
              <w:t>Условие решения</w:t>
            </w:r>
          </w:p>
        </w:tc>
        <w:tc>
          <w:tcPr>
            <w:tcW w:w="6746" w:type="dxa"/>
            <w:shd w:val="clear" w:color="auto" w:fill="F0F5F7"/>
            <w:tcMar>
              <w:top w:w="65" w:type="dxa"/>
              <w:left w:w="85" w:type="dxa"/>
              <w:bottom w:w="65" w:type="dxa"/>
              <w:right w:w="85" w:type="dxa"/>
            </w:tcMar>
            <w:vAlign w:val="center"/>
          </w:tcPr>
          <w:p w14:paraId="193E3508" w14:textId="77777777" w:rsidR="009F2E99" w:rsidRDefault="00000000">
            <w:pPr>
              <w:pStyle w:val="TableBody"/>
            </w:pPr>
            <w:r>
              <w:t>Продолжение возможно после проверки качества</w:t>
            </w:r>
          </w:p>
        </w:tc>
      </w:tr>
    </w:tbl>
    <w:p w14:paraId="495BAB3D" w14:textId="77777777" w:rsidR="009F2E99" w:rsidRDefault="009F2E99">
      <w:pPr>
        <w:spacing w:after="0" w:line="60" w:lineRule="exact"/>
      </w:pPr>
    </w:p>
    <w:p w14:paraId="5759C7AB" w14:textId="77777777" w:rsidR="00155767" w:rsidRDefault="00155767">
      <w:pPr>
        <w:pStyle w:val="21"/>
      </w:pPr>
    </w:p>
    <w:p w14:paraId="5CC521F2" w14:textId="05277FAD" w:rsidR="009F2E99" w:rsidRDefault="00000000">
      <w:pPr>
        <w:pStyle w:val="21"/>
      </w:pPr>
      <w:r>
        <w:t>Сценарий не равен прогнозу</w:t>
      </w:r>
    </w:p>
    <w:p w14:paraId="11B42924" w14:textId="77777777" w:rsidR="009F2E99" w:rsidRDefault="00000000">
      <w:r>
        <w:t>Сценарий отвечает на вопрос «что будет при таких предположениях». Прогноз дополнительно претендует на оценку будущего. Три сценария с названиями «лучший», «базовый», «худший» не становятся вероятностной моделью, если вероятности не оценены.</w:t>
      </w:r>
    </w:p>
    <w:p w14:paraId="479B16F4" w14:textId="77777777" w:rsidR="009F2E99" w:rsidRDefault="00000000">
      <w:r>
        <w:t>Для пилота можно показать экономический результат при 8, 12 и 15 дополнительных завершениях. Но нельзя объявить средний из трех вариантов ожидаемым только потому, что он расположен посередине. Выбор вероятностных весов требует отдельного основания.</w:t>
      </w:r>
    </w:p>
    <w:p w14:paraId="23CC766B" w14:textId="77777777" w:rsidR="009F2E99" w:rsidRDefault="00000000">
      <w:r>
        <w:t>Оговорка должна быть конкретной и размещаться рядом с выводом. «Результат зависит от сохранения состава программ; данные охватывают два периода» полезнее повторяющегося «все индивидуально». При этом не следует перегружать читателя всеми мыслимыми сомнениями: выделяются те, которые способны изменить решение.</w:t>
      </w:r>
    </w:p>
    <w:p w14:paraId="75E7B04C" w14:textId="77777777" w:rsidR="009F2E99" w:rsidRDefault="00000000">
      <w:r>
        <w:br w:type="page"/>
      </w:r>
    </w:p>
    <w:p w14:paraId="5463541C" w14:textId="77777777" w:rsidR="009F2E99" w:rsidRDefault="00000000">
      <w:pPr>
        <w:pStyle w:val="1"/>
      </w:pPr>
      <w:r>
        <w:lastRenderedPageBreak/>
        <w:t>5. Редактирование тезиса и управление уверенностью</w:t>
      </w:r>
    </w:p>
    <w:p w14:paraId="019EA3CC" w14:textId="77777777" w:rsidR="009F2E99" w:rsidRDefault="00000000">
      <w:r>
        <w:t>Начните с глаголов и модальных слов. «Доказывает», «гарантирует», «обеспечит» требуют сильного основания. «Может», «вероятно» и «согласуется» также не должны быть пустой маскировкой: поясните, почему предположение заслуживает внимания.</w:t>
      </w:r>
    </w:p>
    <w:p w14:paraId="3DFE729F" w14:textId="77777777" w:rsidR="009F2E99" w:rsidRDefault="00000000">
      <w:pPr>
        <w:pStyle w:val="21"/>
      </w:pPr>
      <w:r>
        <w:t>Пример работы с утверждением</w:t>
      </w:r>
    </w:p>
    <w:p w14:paraId="6580095D" w14:textId="77777777" w:rsidR="009F2E99" w:rsidRDefault="00000000">
      <w:r>
        <w:t>Черновик: «Реклама привлекла неподходящих клиентов, поэтому завершения перестали расти».</w:t>
      </w:r>
    </w:p>
    <w:p w14:paraId="7BF424A6" w14:textId="77777777" w:rsidR="009F2E99" w:rsidRDefault="00000000">
      <w:r>
        <w:t>Проверка: завершения выросли с 72 до 75; состав каналов изменился; внутри каналов доли могли улучшиться; критерий подходящего клиента не задан. Следовательно, черновик содержит и неточность описания, и недоказанную причину.</w:t>
      </w:r>
    </w:p>
    <w:p w14:paraId="602EFBC6" w14:textId="77777777" w:rsidR="009F2E99" w:rsidRDefault="00000000">
      <w:r>
        <w:t>Редакция: «Число завершений увеличилось незначительно относительно роста заявок. Изменение состава потока является одной из гипотез, но имеющихся агрегатов недостаточно для ее подтверждения. Следует сравнить программы и каналы при согласованных определениях и проверить причины отказа после подтверждения».</w:t>
      </w:r>
    </w:p>
    <w:p w14:paraId="06642DB4" w14:textId="77777777" w:rsidR="00155767" w:rsidRDefault="00155767"/>
    <w:tbl>
      <w:tblPr>
        <w:tblW w:w="0" w:type="auto"/>
        <w:jc w:val="center"/>
        <w:tblLayout w:type="fixed"/>
        <w:tblLook w:val="04A0" w:firstRow="1" w:lastRow="0" w:firstColumn="1" w:lastColumn="0" w:noHBand="0" w:noVBand="1"/>
      </w:tblPr>
      <w:tblGrid>
        <w:gridCol w:w="2891"/>
        <w:gridCol w:w="6746"/>
      </w:tblGrid>
      <w:tr w:rsidR="009F2E99" w14:paraId="452DF5CF" w14:textId="77777777">
        <w:trPr>
          <w:cantSplit/>
          <w:tblHeader/>
          <w:jc w:val="center"/>
        </w:trPr>
        <w:tc>
          <w:tcPr>
            <w:tcW w:w="2891" w:type="dxa"/>
            <w:shd w:val="clear" w:color="auto" w:fill="173B50"/>
            <w:tcMar>
              <w:top w:w="65" w:type="dxa"/>
              <w:left w:w="85" w:type="dxa"/>
              <w:bottom w:w="65" w:type="dxa"/>
              <w:right w:w="85" w:type="dxa"/>
            </w:tcMar>
            <w:vAlign w:val="center"/>
          </w:tcPr>
          <w:p w14:paraId="057DC45C" w14:textId="77777777" w:rsidR="009F2E99" w:rsidRDefault="00000000">
            <w:pPr>
              <w:pStyle w:val="TableBody"/>
            </w:pPr>
            <w:r>
              <w:rPr>
                <w:b/>
                <w:color w:val="FFFFFF"/>
              </w:rPr>
              <w:t>Проверка перед выпуском</w:t>
            </w:r>
          </w:p>
        </w:tc>
        <w:tc>
          <w:tcPr>
            <w:tcW w:w="6746" w:type="dxa"/>
            <w:shd w:val="clear" w:color="auto" w:fill="173B50"/>
            <w:tcMar>
              <w:top w:w="65" w:type="dxa"/>
              <w:left w:w="85" w:type="dxa"/>
              <w:bottom w:w="65" w:type="dxa"/>
              <w:right w:w="85" w:type="dxa"/>
            </w:tcMar>
            <w:vAlign w:val="center"/>
          </w:tcPr>
          <w:p w14:paraId="44E2A057" w14:textId="77777777" w:rsidR="009F2E99" w:rsidRDefault="00000000">
            <w:pPr>
              <w:pStyle w:val="TableBody"/>
            </w:pPr>
            <w:r>
              <w:rPr>
                <w:b/>
                <w:color w:val="FFFFFF"/>
              </w:rPr>
              <w:t>Возможная правка</w:t>
            </w:r>
          </w:p>
        </w:tc>
      </w:tr>
      <w:tr w:rsidR="009F2E99" w14:paraId="797957EC" w14:textId="77777777">
        <w:trPr>
          <w:cantSplit/>
          <w:jc w:val="center"/>
        </w:trPr>
        <w:tc>
          <w:tcPr>
            <w:tcW w:w="2891" w:type="dxa"/>
            <w:shd w:val="clear" w:color="auto" w:fill="F0F5F7"/>
            <w:tcMar>
              <w:top w:w="65" w:type="dxa"/>
              <w:left w:w="85" w:type="dxa"/>
              <w:bottom w:w="65" w:type="dxa"/>
              <w:right w:w="85" w:type="dxa"/>
            </w:tcMar>
            <w:vAlign w:val="center"/>
          </w:tcPr>
          <w:p w14:paraId="0F3BD5A0" w14:textId="77777777" w:rsidR="009F2E99" w:rsidRDefault="00000000">
            <w:pPr>
              <w:pStyle w:val="TableBody"/>
            </w:pPr>
            <w:r>
              <w:t>Совпадает ли метрика?</w:t>
            </w:r>
          </w:p>
        </w:tc>
        <w:tc>
          <w:tcPr>
            <w:tcW w:w="6746" w:type="dxa"/>
            <w:shd w:val="clear" w:color="auto" w:fill="F0F5F7"/>
            <w:tcMar>
              <w:top w:w="65" w:type="dxa"/>
              <w:left w:w="85" w:type="dxa"/>
              <w:bottom w:w="65" w:type="dxa"/>
              <w:right w:w="85" w:type="dxa"/>
            </w:tcMar>
            <w:vAlign w:val="center"/>
          </w:tcPr>
          <w:p w14:paraId="057F2349" w14:textId="77777777" w:rsidR="009F2E99" w:rsidRDefault="00000000">
            <w:pPr>
              <w:pStyle w:val="TableBody"/>
            </w:pPr>
            <w:r>
              <w:t>Заменить «продажи» на реально измеренные заявки</w:t>
            </w:r>
          </w:p>
        </w:tc>
      </w:tr>
      <w:tr w:rsidR="009F2E99" w14:paraId="719A4223" w14:textId="77777777">
        <w:trPr>
          <w:cantSplit/>
          <w:jc w:val="center"/>
        </w:trPr>
        <w:tc>
          <w:tcPr>
            <w:tcW w:w="2891" w:type="dxa"/>
            <w:shd w:val="clear" w:color="auto" w:fill="FFFFFF"/>
            <w:tcMar>
              <w:top w:w="65" w:type="dxa"/>
              <w:left w:w="85" w:type="dxa"/>
              <w:bottom w:w="65" w:type="dxa"/>
              <w:right w:w="85" w:type="dxa"/>
            </w:tcMar>
            <w:vAlign w:val="center"/>
          </w:tcPr>
          <w:p w14:paraId="3F2EDF9C" w14:textId="77777777" w:rsidR="009F2E99" w:rsidRDefault="00000000">
            <w:pPr>
              <w:pStyle w:val="TableBody"/>
            </w:pPr>
            <w:r>
              <w:t>Названа ли база?</w:t>
            </w:r>
          </w:p>
        </w:tc>
        <w:tc>
          <w:tcPr>
            <w:tcW w:w="6746" w:type="dxa"/>
            <w:shd w:val="clear" w:color="auto" w:fill="FFFFFF"/>
            <w:tcMar>
              <w:top w:w="65" w:type="dxa"/>
              <w:left w:w="85" w:type="dxa"/>
              <w:bottom w:w="65" w:type="dxa"/>
              <w:right w:w="85" w:type="dxa"/>
            </w:tcMar>
            <w:vAlign w:val="center"/>
          </w:tcPr>
          <w:p w14:paraId="04454CA6" w14:textId="77777777" w:rsidR="009F2E99" w:rsidRDefault="00000000">
            <w:pPr>
              <w:pStyle w:val="TableBody"/>
            </w:pPr>
            <w:r>
              <w:t>Добавить исходное значение и период</w:t>
            </w:r>
          </w:p>
        </w:tc>
      </w:tr>
      <w:tr w:rsidR="009F2E99" w14:paraId="6D680C0D" w14:textId="77777777">
        <w:trPr>
          <w:cantSplit/>
          <w:jc w:val="center"/>
        </w:trPr>
        <w:tc>
          <w:tcPr>
            <w:tcW w:w="2891" w:type="dxa"/>
            <w:shd w:val="clear" w:color="auto" w:fill="F0F5F7"/>
            <w:tcMar>
              <w:top w:w="65" w:type="dxa"/>
              <w:left w:w="85" w:type="dxa"/>
              <w:bottom w:w="65" w:type="dxa"/>
              <w:right w:w="85" w:type="dxa"/>
            </w:tcMar>
            <w:vAlign w:val="center"/>
          </w:tcPr>
          <w:p w14:paraId="45E81DA5" w14:textId="77777777" w:rsidR="009F2E99" w:rsidRDefault="00000000">
            <w:pPr>
              <w:pStyle w:val="TableBody"/>
            </w:pPr>
            <w:r>
              <w:t>Есть ли причинная подмена?</w:t>
            </w:r>
          </w:p>
        </w:tc>
        <w:tc>
          <w:tcPr>
            <w:tcW w:w="6746" w:type="dxa"/>
            <w:shd w:val="clear" w:color="auto" w:fill="F0F5F7"/>
            <w:tcMar>
              <w:top w:w="65" w:type="dxa"/>
              <w:left w:w="85" w:type="dxa"/>
              <w:bottom w:w="65" w:type="dxa"/>
              <w:right w:w="85" w:type="dxa"/>
            </w:tcMar>
            <w:vAlign w:val="center"/>
          </w:tcPr>
          <w:p w14:paraId="74C61031" w14:textId="77777777" w:rsidR="009F2E99" w:rsidRDefault="00000000">
            <w:pPr>
              <w:pStyle w:val="TableBody"/>
            </w:pPr>
            <w:r>
              <w:t>Уточнить наблюдательный характер</w:t>
            </w:r>
          </w:p>
        </w:tc>
      </w:tr>
      <w:tr w:rsidR="009F2E99" w14:paraId="6BA8A3A3" w14:textId="77777777">
        <w:trPr>
          <w:cantSplit/>
          <w:jc w:val="center"/>
        </w:trPr>
        <w:tc>
          <w:tcPr>
            <w:tcW w:w="2891" w:type="dxa"/>
            <w:shd w:val="clear" w:color="auto" w:fill="FFFFFF"/>
            <w:tcMar>
              <w:top w:w="65" w:type="dxa"/>
              <w:left w:w="85" w:type="dxa"/>
              <w:bottom w:w="65" w:type="dxa"/>
              <w:right w:w="85" w:type="dxa"/>
            </w:tcMar>
            <w:vAlign w:val="center"/>
          </w:tcPr>
          <w:p w14:paraId="4BA3506C" w14:textId="77777777" w:rsidR="009F2E99" w:rsidRDefault="00000000">
            <w:pPr>
              <w:pStyle w:val="TableBody"/>
            </w:pPr>
            <w:r>
              <w:t>Видна ли альтернатива?</w:t>
            </w:r>
          </w:p>
        </w:tc>
        <w:tc>
          <w:tcPr>
            <w:tcW w:w="6746" w:type="dxa"/>
            <w:shd w:val="clear" w:color="auto" w:fill="FFFFFF"/>
            <w:tcMar>
              <w:top w:w="65" w:type="dxa"/>
              <w:left w:w="85" w:type="dxa"/>
              <w:bottom w:w="65" w:type="dxa"/>
              <w:right w:w="85" w:type="dxa"/>
            </w:tcMar>
            <w:vAlign w:val="center"/>
          </w:tcPr>
          <w:p w14:paraId="53512942" w14:textId="77777777" w:rsidR="009F2E99" w:rsidRDefault="00000000">
            <w:pPr>
              <w:pStyle w:val="TableBody"/>
            </w:pPr>
            <w:r>
              <w:t>Включить существенное другое объяснение</w:t>
            </w:r>
          </w:p>
        </w:tc>
      </w:tr>
      <w:tr w:rsidR="009F2E99" w14:paraId="523903C8" w14:textId="77777777">
        <w:trPr>
          <w:cantSplit/>
          <w:jc w:val="center"/>
        </w:trPr>
        <w:tc>
          <w:tcPr>
            <w:tcW w:w="2891" w:type="dxa"/>
            <w:shd w:val="clear" w:color="auto" w:fill="F0F5F7"/>
            <w:tcMar>
              <w:top w:w="65" w:type="dxa"/>
              <w:left w:w="85" w:type="dxa"/>
              <w:bottom w:w="65" w:type="dxa"/>
              <w:right w:w="85" w:type="dxa"/>
            </w:tcMar>
            <w:vAlign w:val="center"/>
          </w:tcPr>
          <w:p w14:paraId="3F9A9C2D" w14:textId="77777777" w:rsidR="009F2E99" w:rsidRDefault="00000000">
            <w:pPr>
              <w:pStyle w:val="TableBody"/>
            </w:pPr>
            <w:r>
              <w:t>Понятно ли действие?</w:t>
            </w:r>
          </w:p>
        </w:tc>
        <w:tc>
          <w:tcPr>
            <w:tcW w:w="6746" w:type="dxa"/>
            <w:shd w:val="clear" w:color="auto" w:fill="F0F5F7"/>
            <w:tcMar>
              <w:top w:w="65" w:type="dxa"/>
              <w:left w:w="85" w:type="dxa"/>
              <w:bottom w:w="65" w:type="dxa"/>
              <w:right w:w="85" w:type="dxa"/>
            </w:tcMar>
            <w:vAlign w:val="center"/>
          </w:tcPr>
          <w:p w14:paraId="29663CD8" w14:textId="77777777" w:rsidR="009F2E99" w:rsidRDefault="00000000">
            <w:pPr>
              <w:pStyle w:val="TableBody"/>
            </w:pPr>
            <w:r>
              <w:t>Назвать проверку, срок и ответственного</w:t>
            </w:r>
          </w:p>
        </w:tc>
      </w:tr>
    </w:tbl>
    <w:p w14:paraId="7052FD46" w14:textId="77777777" w:rsidR="009F2E99" w:rsidRDefault="009F2E99">
      <w:pPr>
        <w:spacing w:after="0" w:line="60" w:lineRule="exact"/>
      </w:pPr>
    </w:p>
    <w:p w14:paraId="6A83F5DC" w14:textId="77777777" w:rsidR="00155767" w:rsidRDefault="00155767">
      <w:pPr>
        <w:pStyle w:val="21"/>
      </w:pPr>
    </w:p>
    <w:p w14:paraId="3ACB5CAB" w14:textId="4C3A0FFB" w:rsidR="009F2E99" w:rsidRDefault="00000000">
      <w:pPr>
        <w:pStyle w:val="21"/>
      </w:pPr>
      <w:r>
        <w:t>Цена ошибки</w:t>
      </w:r>
    </w:p>
    <w:p w14:paraId="26AED7E0" w14:textId="77777777" w:rsidR="009F2E99" w:rsidRDefault="00000000">
      <w:r>
        <w:t>Для обратимого изменения текста допустима одна стратегия проверки, для решения с существенным ущербом — более строгая. Но низкая цена действия не разрешает публиковать ложный вывод. Можно принять ограниченный риск внедрения при неопределенности, честно назвав основание и контроль.</w:t>
      </w:r>
    </w:p>
    <w:p w14:paraId="1C9C785B" w14:textId="77777777" w:rsidR="009F2E99" w:rsidRDefault="00000000">
      <w:r>
        <w:t>В конечном материале уверенность должна быть одинаковой в резюме, заголовке, графике и заключении. Если оговорка исчезла только в краткой версии, читатель получает другую аналитическую позицию. Редактура поэтому проверяет не только грамматику, но и сохранение смысла при сокращении.</w:t>
      </w:r>
    </w:p>
    <w:sectPr w:rsidR="009F2E99"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69C55" w14:textId="77777777" w:rsidR="008014E8" w:rsidRDefault="008014E8">
      <w:pPr>
        <w:spacing w:after="0" w:line="240" w:lineRule="auto"/>
      </w:pPr>
      <w:r>
        <w:separator/>
      </w:r>
    </w:p>
  </w:endnote>
  <w:endnote w:type="continuationSeparator" w:id="0">
    <w:p w14:paraId="3B4B5755" w14:textId="77777777" w:rsidR="008014E8" w:rsidRDefault="00801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49B3" w14:textId="60A0924D" w:rsidR="009F2E99" w:rsidRDefault="009F2E99">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E4765" w14:textId="77777777" w:rsidR="008014E8" w:rsidRDefault="008014E8">
      <w:pPr>
        <w:spacing w:after="0" w:line="240" w:lineRule="auto"/>
      </w:pPr>
      <w:r>
        <w:separator/>
      </w:r>
    </w:p>
  </w:footnote>
  <w:footnote w:type="continuationSeparator" w:id="0">
    <w:p w14:paraId="53B63FD5" w14:textId="77777777" w:rsidR="008014E8" w:rsidRDefault="00801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3811" w14:textId="741B9142" w:rsidR="009F2E99" w:rsidRDefault="009F2E99">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6116695">
    <w:abstractNumId w:val="8"/>
  </w:num>
  <w:num w:numId="2" w16cid:durableId="893389908">
    <w:abstractNumId w:val="6"/>
  </w:num>
  <w:num w:numId="3" w16cid:durableId="1517160360">
    <w:abstractNumId w:val="5"/>
  </w:num>
  <w:num w:numId="4" w16cid:durableId="1197894199">
    <w:abstractNumId w:val="4"/>
  </w:num>
  <w:num w:numId="5" w16cid:durableId="62919803">
    <w:abstractNumId w:val="7"/>
  </w:num>
  <w:num w:numId="6" w16cid:durableId="103888523">
    <w:abstractNumId w:val="3"/>
  </w:num>
  <w:num w:numId="7" w16cid:durableId="188222541">
    <w:abstractNumId w:val="2"/>
  </w:num>
  <w:num w:numId="8" w16cid:durableId="1359893653">
    <w:abstractNumId w:val="1"/>
  </w:num>
  <w:num w:numId="9" w16cid:durableId="1900508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03F3"/>
    <w:rsid w:val="0015074B"/>
    <w:rsid w:val="00155767"/>
    <w:rsid w:val="0029639D"/>
    <w:rsid w:val="00326F90"/>
    <w:rsid w:val="008014E8"/>
    <w:rsid w:val="009F2E9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30267B"/>
  <w14:defaultImageDpi w14:val="300"/>
  <w15:docId w15:val="{DEA761FF-0C17-42BD-8DAC-B71E3180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9</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2026-10-07T19:05:00Z</dcterms:modified>
  <cp:category/>
</cp:coreProperties>
</file>