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8E831" w14:textId="77777777" w:rsidR="000F1493" w:rsidRDefault="00000000">
      <w:pPr>
        <w:pStyle w:val="aa"/>
      </w:pPr>
      <w:r>
        <w:t>Причинность, проверка гипотез и оценка эффекта</w:t>
      </w:r>
    </w:p>
    <w:p w14:paraId="4F57B864" w14:textId="77777777" w:rsidR="000F1493" w:rsidRDefault="00000000">
      <w:pPr>
        <w:pStyle w:val="1"/>
      </w:pPr>
      <w:r>
        <w:t>1. Связь, общий фактор и обратное направление</w:t>
      </w:r>
    </w:p>
    <w:p w14:paraId="7349BCC6" w14:textId="77777777" w:rsidR="000F1493" w:rsidRDefault="00000000">
      <w:r>
        <w:t>Корреляция описывает совместное изменение показателей. Оно может возникнуть из-за причинного влияния, общего фактора, обратной связи или особенностей отбора. Например, более мотивированные слушатели чаще открывают учебные материалы и чаще завершают курс. Простая связь открытий и завершения не доказывает, что любое дополнительное открытие страницы улучшит обучение.</w:t>
      </w:r>
    </w:p>
    <w:p w14:paraId="6EDC0012" w14:textId="77777777" w:rsidR="000F1493" w:rsidRDefault="00000000">
      <w:r>
        <w:t>Общий фактор влияет на обе величины. Обратное направление возникает, когда предполагаемый результат меняет предполагаемую причину: успешные участники могут активнее взаимодействовать с платформой. Отбор создает различие еще до вмешательства, если новая функция доступна только добровольцам.</w:t>
      </w:r>
    </w:p>
    <w:p w14:paraId="6F224735" w14:textId="77777777" w:rsidR="008A7023" w:rsidRDefault="008A7023"/>
    <w:tbl>
      <w:tblPr>
        <w:tblW w:w="0" w:type="auto"/>
        <w:jc w:val="center"/>
        <w:tblLayout w:type="fixed"/>
        <w:tblLook w:val="04A0" w:firstRow="1" w:lastRow="0" w:firstColumn="1" w:lastColumn="0" w:noHBand="0" w:noVBand="1"/>
      </w:tblPr>
      <w:tblGrid>
        <w:gridCol w:w="2381"/>
        <w:gridCol w:w="3628"/>
        <w:gridCol w:w="3628"/>
      </w:tblGrid>
      <w:tr w:rsidR="000F1493" w14:paraId="182B77AA" w14:textId="77777777">
        <w:trPr>
          <w:cantSplit/>
          <w:tblHeader/>
          <w:jc w:val="center"/>
        </w:trPr>
        <w:tc>
          <w:tcPr>
            <w:tcW w:w="2381" w:type="dxa"/>
            <w:shd w:val="clear" w:color="auto" w:fill="173B50"/>
            <w:tcMar>
              <w:top w:w="65" w:type="dxa"/>
              <w:left w:w="85" w:type="dxa"/>
              <w:bottom w:w="65" w:type="dxa"/>
              <w:right w:w="85" w:type="dxa"/>
            </w:tcMar>
            <w:vAlign w:val="center"/>
          </w:tcPr>
          <w:p w14:paraId="08FBB465" w14:textId="77777777" w:rsidR="000F1493" w:rsidRDefault="00000000">
            <w:pPr>
              <w:pStyle w:val="TableBody"/>
            </w:pPr>
            <w:r>
              <w:rPr>
                <w:b/>
                <w:color w:val="FFFFFF"/>
              </w:rPr>
              <w:t>Наблюдение</w:t>
            </w:r>
          </w:p>
        </w:tc>
        <w:tc>
          <w:tcPr>
            <w:tcW w:w="3628" w:type="dxa"/>
            <w:shd w:val="clear" w:color="auto" w:fill="173B50"/>
            <w:tcMar>
              <w:top w:w="65" w:type="dxa"/>
              <w:left w:w="85" w:type="dxa"/>
              <w:bottom w:w="65" w:type="dxa"/>
              <w:right w:w="85" w:type="dxa"/>
            </w:tcMar>
            <w:vAlign w:val="center"/>
          </w:tcPr>
          <w:p w14:paraId="3B4431ED" w14:textId="77777777" w:rsidR="000F1493" w:rsidRDefault="00000000">
            <w:pPr>
              <w:pStyle w:val="TableBody"/>
            </w:pPr>
            <w:r>
              <w:rPr>
                <w:b/>
                <w:color w:val="FFFFFF"/>
              </w:rPr>
              <w:t>Возможное объяснение</w:t>
            </w:r>
          </w:p>
        </w:tc>
        <w:tc>
          <w:tcPr>
            <w:tcW w:w="3628" w:type="dxa"/>
            <w:shd w:val="clear" w:color="auto" w:fill="173B50"/>
            <w:tcMar>
              <w:top w:w="65" w:type="dxa"/>
              <w:left w:w="85" w:type="dxa"/>
              <w:bottom w:w="65" w:type="dxa"/>
              <w:right w:w="85" w:type="dxa"/>
            </w:tcMar>
            <w:vAlign w:val="center"/>
          </w:tcPr>
          <w:p w14:paraId="423C2385" w14:textId="77777777" w:rsidR="000F1493" w:rsidRDefault="00000000">
            <w:pPr>
              <w:pStyle w:val="TableBody"/>
            </w:pPr>
            <w:r>
              <w:rPr>
                <w:b/>
                <w:color w:val="FFFFFF"/>
              </w:rPr>
              <w:t>Что уточнить</w:t>
            </w:r>
          </w:p>
        </w:tc>
      </w:tr>
      <w:tr w:rsidR="000F1493" w14:paraId="7E2C1574" w14:textId="77777777">
        <w:trPr>
          <w:cantSplit/>
          <w:jc w:val="center"/>
        </w:trPr>
        <w:tc>
          <w:tcPr>
            <w:tcW w:w="2381" w:type="dxa"/>
            <w:shd w:val="clear" w:color="auto" w:fill="F0F5F7"/>
            <w:tcMar>
              <w:top w:w="65" w:type="dxa"/>
              <w:left w:w="85" w:type="dxa"/>
              <w:bottom w:w="65" w:type="dxa"/>
              <w:right w:w="85" w:type="dxa"/>
            </w:tcMar>
            <w:vAlign w:val="center"/>
          </w:tcPr>
          <w:p w14:paraId="569A8022" w14:textId="77777777" w:rsidR="000F1493" w:rsidRDefault="00000000">
            <w:pPr>
              <w:pStyle w:val="TableBody"/>
            </w:pPr>
            <w:r>
              <w:t>После напоминаний выше явка</w:t>
            </w:r>
          </w:p>
        </w:tc>
        <w:tc>
          <w:tcPr>
            <w:tcW w:w="3628" w:type="dxa"/>
            <w:shd w:val="clear" w:color="auto" w:fill="F0F5F7"/>
            <w:tcMar>
              <w:top w:w="65" w:type="dxa"/>
              <w:left w:w="85" w:type="dxa"/>
              <w:bottom w:w="65" w:type="dxa"/>
              <w:right w:w="85" w:type="dxa"/>
            </w:tcMar>
            <w:vAlign w:val="center"/>
          </w:tcPr>
          <w:p w14:paraId="00328E38" w14:textId="77777777" w:rsidR="000F1493" w:rsidRDefault="00000000">
            <w:pPr>
              <w:pStyle w:val="TableBody"/>
            </w:pPr>
            <w:r>
              <w:t>Помощь сообщения или иной сезон</w:t>
            </w:r>
          </w:p>
        </w:tc>
        <w:tc>
          <w:tcPr>
            <w:tcW w:w="3628" w:type="dxa"/>
            <w:shd w:val="clear" w:color="auto" w:fill="F0F5F7"/>
            <w:tcMar>
              <w:top w:w="65" w:type="dxa"/>
              <w:left w:w="85" w:type="dxa"/>
              <w:bottom w:w="65" w:type="dxa"/>
              <w:right w:w="85" w:type="dxa"/>
            </w:tcMar>
            <w:vAlign w:val="center"/>
          </w:tcPr>
          <w:p w14:paraId="2E86A31B" w14:textId="77777777" w:rsidR="000F1493" w:rsidRDefault="00000000">
            <w:pPr>
              <w:pStyle w:val="TableBody"/>
            </w:pPr>
            <w:r>
              <w:t>Сопоставимые условия</w:t>
            </w:r>
          </w:p>
        </w:tc>
      </w:tr>
      <w:tr w:rsidR="000F1493" w14:paraId="33199362" w14:textId="77777777">
        <w:trPr>
          <w:cantSplit/>
          <w:jc w:val="center"/>
        </w:trPr>
        <w:tc>
          <w:tcPr>
            <w:tcW w:w="2381" w:type="dxa"/>
            <w:shd w:val="clear" w:color="auto" w:fill="FFFFFF"/>
            <w:tcMar>
              <w:top w:w="65" w:type="dxa"/>
              <w:left w:w="85" w:type="dxa"/>
              <w:bottom w:w="65" w:type="dxa"/>
              <w:right w:w="85" w:type="dxa"/>
            </w:tcMar>
            <w:vAlign w:val="center"/>
          </w:tcPr>
          <w:p w14:paraId="7C3FF8C6" w14:textId="77777777" w:rsidR="000F1493" w:rsidRDefault="00000000">
            <w:pPr>
              <w:pStyle w:val="TableBody"/>
            </w:pPr>
            <w:r>
              <w:t>Активные пользователи чаще завершают</w:t>
            </w:r>
          </w:p>
        </w:tc>
        <w:tc>
          <w:tcPr>
            <w:tcW w:w="3628" w:type="dxa"/>
            <w:shd w:val="clear" w:color="auto" w:fill="FFFFFF"/>
            <w:tcMar>
              <w:top w:w="65" w:type="dxa"/>
              <w:left w:w="85" w:type="dxa"/>
              <w:bottom w:w="65" w:type="dxa"/>
              <w:right w:w="85" w:type="dxa"/>
            </w:tcMar>
            <w:vAlign w:val="center"/>
          </w:tcPr>
          <w:p w14:paraId="3D37CB07" w14:textId="77777777" w:rsidR="000F1493" w:rsidRDefault="00000000">
            <w:pPr>
              <w:pStyle w:val="TableBody"/>
            </w:pPr>
            <w:r>
              <w:t>Мотивация влияет на оба признака</w:t>
            </w:r>
          </w:p>
        </w:tc>
        <w:tc>
          <w:tcPr>
            <w:tcW w:w="3628" w:type="dxa"/>
            <w:shd w:val="clear" w:color="auto" w:fill="FFFFFF"/>
            <w:tcMar>
              <w:top w:w="65" w:type="dxa"/>
              <w:left w:w="85" w:type="dxa"/>
              <w:bottom w:w="65" w:type="dxa"/>
              <w:right w:w="85" w:type="dxa"/>
            </w:tcMar>
            <w:vAlign w:val="center"/>
          </w:tcPr>
          <w:p w14:paraId="20749234" w14:textId="77777777" w:rsidR="000F1493" w:rsidRDefault="00000000">
            <w:pPr>
              <w:pStyle w:val="TableBody"/>
            </w:pPr>
            <w:r>
              <w:t>Исходные различия</w:t>
            </w:r>
          </w:p>
        </w:tc>
      </w:tr>
      <w:tr w:rsidR="000F1493" w14:paraId="772620AE" w14:textId="77777777">
        <w:trPr>
          <w:cantSplit/>
          <w:jc w:val="center"/>
        </w:trPr>
        <w:tc>
          <w:tcPr>
            <w:tcW w:w="2381" w:type="dxa"/>
            <w:shd w:val="clear" w:color="auto" w:fill="F0F5F7"/>
            <w:tcMar>
              <w:top w:w="65" w:type="dxa"/>
              <w:left w:w="85" w:type="dxa"/>
              <w:bottom w:w="65" w:type="dxa"/>
              <w:right w:w="85" w:type="dxa"/>
            </w:tcMar>
            <w:vAlign w:val="center"/>
          </w:tcPr>
          <w:p w14:paraId="7737DCCE" w14:textId="77777777" w:rsidR="000F1493" w:rsidRDefault="00000000">
            <w:pPr>
              <w:pStyle w:val="TableBody"/>
            </w:pPr>
            <w:r>
              <w:t>В новой группе выше результат</w:t>
            </w:r>
          </w:p>
        </w:tc>
        <w:tc>
          <w:tcPr>
            <w:tcW w:w="3628" w:type="dxa"/>
            <w:shd w:val="clear" w:color="auto" w:fill="F0F5F7"/>
            <w:tcMar>
              <w:top w:w="65" w:type="dxa"/>
              <w:left w:w="85" w:type="dxa"/>
              <w:bottom w:w="65" w:type="dxa"/>
              <w:right w:w="85" w:type="dxa"/>
            </w:tcMar>
            <w:vAlign w:val="center"/>
          </w:tcPr>
          <w:p w14:paraId="351ED29B" w14:textId="77777777" w:rsidR="000F1493" w:rsidRDefault="00000000">
            <w:pPr>
              <w:pStyle w:val="TableBody"/>
            </w:pPr>
            <w:r>
              <w:t>Иной состав участников</w:t>
            </w:r>
          </w:p>
        </w:tc>
        <w:tc>
          <w:tcPr>
            <w:tcW w:w="3628" w:type="dxa"/>
            <w:shd w:val="clear" w:color="auto" w:fill="F0F5F7"/>
            <w:tcMar>
              <w:top w:w="65" w:type="dxa"/>
              <w:left w:w="85" w:type="dxa"/>
              <w:bottom w:w="65" w:type="dxa"/>
              <w:right w:w="85" w:type="dxa"/>
            </w:tcMar>
            <w:vAlign w:val="center"/>
          </w:tcPr>
          <w:p w14:paraId="7A82633D" w14:textId="77777777" w:rsidR="000F1493" w:rsidRDefault="00000000">
            <w:pPr>
              <w:pStyle w:val="TableBody"/>
            </w:pPr>
            <w:r>
              <w:t>Правило распределения</w:t>
            </w:r>
          </w:p>
        </w:tc>
      </w:tr>
      <w:tr w:rsidR="000F1493" w14:paraId="590DD61E" w14:textId="77777777">
        <w:trPr>
          <w:cantSplit/>
          <w:jc w:val="center"/>
        </w:trPr>
        <w:tc>
          <w:tcPr>
            <w:tcW w:w="2381" w:type="dxa"/>
            <w:shd w:val="clear" w:color="auto" w:fill="FFFFFF"/>
            <w:tcMar>
              <w:top w:w="65" w:type="dxa"/>
              <w:left w:w="85" w:type="dxa"/>
              <w:bottom w:w="65" w:type="dxa"/>
              <w:right w:w="85" w:type="dxa"/>
            </w:tcMar>
            <w:vAlign w:val="center"/>
          </w:tcPr>
          <w:p w14:paraId="0CC0A76E" w14:textId="77777777" w:rsidR="000F1493" w:rsidRDefault="00000000">
            <w:pPr>
              <w:pStyle w:val="TableBody"/>
            </w:pPr>
            <w:r>
              <w:t>Рост только среди ответивших</w:t>
            </w:r>
          </w:p>
        </w:tc>
        <w:tc>
          <w:tcPr>
            <w:tcW w:w="3628" w:type="dxa"/>
            <w:shd w:val="clear" w:color="auto" w:fill="FFFFFF"/>
            <w:tcMar>
              <w:top w:w="65" w:type="dxa"/>
              <w:left w:w="85" w:type="dxa"/>
              <w:bottom w:w="65" w:type="dxa"/>
              <w:right w:w="85" w:type="dxa"/>
            </w:tcMar>
            <w:vAlign w:val="center"/>
          </w:tcPr>
          <w:p w14:paraId="55E3CFF2" w14:textId="77777777" w:rsidR="000F1493" w:rsidRDefault="00000000">
            <w:pPr>
              <w:pStyle w:val="TableBody"/>
            </w:pPr>
            <w:r>
              <w:t>Изменился самоотбор</w:t>
            </w:r>
          </w:p>
        </w:tc>
        <w:tc>
          <w:tcPr>
            <w:tcW w:w="3628" w:type="dxa"/>
            <w:shd w:val="clear" w:color="auto" w:fill="FFFFFF"/>
            <w:tcMar>
              <w:top w:w="65" w:type="dxa"/>
              <w:left w:w="85" w:type="dxa"/>
              <w:bottom w:w="65" w:type="dxa"/>
              <w:right w:w="85" w:type="dxa"/>
            </w:tcMar>
            <w:vAlign w:val="center"/>
          </w:tcPr>
          <w:p w14:paraId="1FAD5E78" w14:textId="77777777" w:rsidR="000F1493" w:rsidRDefault="00000000">
            <w:pPr>
              <w:pStyle w:val="TableBody"/>
            </w:pPr>
            <w:r>
              <w:t>Неответы и охват</w:t>
            </w:r>
          </w:p>
        </w:tc>
      </w:tr>
    </w:tbl>
    <w:p w14:paraId="02DC2368" w14:textId="77777777" w:rsidR="000F1493" w:rsidRDefault="000F1493">
      <w:pPr>
        <w:spacing w:after="0" w:line="60" w:lineRule="exact"/>
      </w:pPr>
    </w:p>
    <w:p w14:paraId="162DEDC1" w14:textId="77777777" w:rsidR="008A7023" w:rsidRDefault="008A7023">
      <w:pPr>
        <w:pStyle w:val="21"/>
      </w:pPr>
    </w:p>
    <w:p w14:paraId="5246EC7A" w14:textId="1112B81D" w:rsidR="000F1493" w:rsidRDefault="00000000">
      <w:pPr>
        <w:pStyle w:val="21"/>
      </w:pPr>
      <w:proofErr w:type="spellStart"/>
      <w:r>
        <w:t>Контрфактический</w:t>
      </w:r>
      <w:proofErr w:type="spellEnd"/>
      <w:r>
        <w:t xml:space="preserve"> вопрос</w:t>
      </w:r>
    </w:p>
    <w:p w14:paraId="05EAD7CC" w14:textId="77777777" w:rsidR="000F1493" w:rsidRDefault="00000000">
      <w:r>
        <w:t>Для одного человека нельзя одновременно наблюдать результат с мерой и без нее в одинаковый момент. Поэтому используют сравнение, которое приближает ненаблюдаемый сценарий. Качество этого приближения определяет силу причинного вывода.</w:t>
      </w:r>
    </w:p>
    <w:p w14:paraId="1D655E91" w14:textId="77777777" w:rsidR="000F1493" w:rsidRDefault="00000000">
      <w:r>
        <w:t>Наблюдательные данные остаются полезными: они обнаруживают проблему, описывают масштаб и помогают выбрать гипотезу. Ошибка состоит не в их использовании, а в необоснованном усилении языка. «Рост зарегистрирован после изменения» точнее, чем «изменение обеспечило весь рост», если контроль отсутствует.</w:t>
      </w:r>
    </w:p>
    <w:p w14:paraId="54E98FA8" w14:textId="77777777" w:rsidR="000F1493" w:rsidRDefault="00000000">
      <w:r>
        <w:t>Перед анализом нарисуйте словами три возможные цепочки причин. Для каждой назовите сведения, способные ее поддержать или ослабить. Это часто полезнее немедленного расчета сложной модели на плохо определенной таблице.</w:t>
      </w:r>
    </w:p>
    <w:p w14:paraId="1F38F59A" w14:textId="77777777" w:rsidR="000F1493" w:rsidRDefault="00000000">
      <w:r>
        <w:br w:type="page"/>
      </w:r>
    </w:p>
    <w:p w14:paraId="6732D90E" w14:textId="77777777" w:rsidR="000F1493" w:rsidRDefault="00000000">
      <w:pPr>
        <w:pStyle w:val="1"/>
      </w:pPr>
      <w:r>
        <w:lastRenderedPageBreak/>
        <w:t>2. Проверка гипотезы и устройство сравнения</w:t>
      </w:r>
    </w:p>
    <w:p w14:paraId="24BDCC33" w14:textId="77777777" w:rsidR="000F1493" w:rsidRDefault="00000000">
      <w:r>
        <w:t>Гипотеза должна назвать аудиторию, изменение, ожидаемый результат и предполагаемый механизм. Например: «Более ясное подтверждение увеличит долю правильно понявших статус заявки среди новых участников». Механизм понимания и итоговая посещаемость — разные показатели; их не следует заменять друг другом.</w:t>
      </w:r>
    </w:p>
    <w:p w14:paraId="204F7966" w14:textId="77777777" w:rsidR="000F1493" w:rsidRDefault="00000000">
      <w:r>
        <w:t>Контроль получает базовый вариант, тестовая группа — измененный. При случайном распределении систематические различия в среднем уменьшаются, но конкретные группы могут случайно различаться. Рандомизация не исправляет ошибочную метрику и не делает удобную выборку представительной для всей страны [2].</w:t>
      </w:r>
    </w:p>
    <w:p w14:paraId="23F112BA" w14:textId="77777777" w:rsidR="000F1493" w:rsidRDefault="00000000">
      <w:pPr>
        <w:pStyle w:val="21"/>
      </w:pPr>
      <w:r>
        <w:t>План до знакомства с результатом</w:t>
      </w:r>
    </w:p>
    <w:p w14:paraId="726826C9" w14:textId="77777777" w:rsidR="000F1493" w:rsidRDefault="00000000">
      <w:r>
        <w:t>Укажите единицу распределения, период, основной показатель, правила исключения и условия остановки. Если один человек может видеть обе версии, это влияет на интерпретацию. Если учитывается завершение курса, обеим группам нужно дать достаточное одинаковое время для его наступления.</w:t>
      </w:r>
    </w:p>
    <w:p w14:paraId="4E319004" w14:textId="77777777" w:rsidR="008A7023" w:rsidRDefault="008A7023"/>
    <w:tbl>
      <w:tblPr>
        <w:tblW w:w="0" w:type="auto"/>
        <w:jc w:val="center"/>
        <w:tblLayout w:type="fixed"/>
        <w:tblLook w:val="04A0" w:firstRow="1" w:lastRow="0" w:firstColumn="1" w:lastColumn="0" w:noHBand="0" w:noVBand="1"/>
      </w:tblPr>
      <w:tblGrid>
        <w:gridCol w:w="2891"/>
        <w:gridCol w:w="6746"/>
      </w:tblGrid>
      <w:tr w:rsidR="000F1493" w14:paraId="168BE732" w14:textId="77777777">
        <w:trPr>
          <w:cantSplit/>
          <w:tblHeader/>
          <w:jc w:val="center"/>
        </w:trPr>
        <w:tc>
          <w:tcPr>
            <w:tcW w:w="2891" w:type="dxa"/>
            <w:shd w:val="clear" w:color="auto" w:fill="173B50"/>
            <w:tcMar>
              <w:top w:w="65" w:type="dxa"/>
              <w:left w:w="85" w:type="dxa"/>
              <w:bottom w:w="65" w:type="dxa"/>
              <w:right w:w="85" w:type="dxa"/>
            </w:tcMar>
            <w:vAlign w:val="center"/>
          </w:tcPr>
          <w:p w14:paraId="20A4D639" w14:textId="77777777" w:rsidR="000F1493" w:rsidRDefault="00000000">
            <w:pPr>
              <w:pStyle w:val="TableBody"/>
            </w:pPr>
            <w:r>
              <w:rPr>
                <w:b/>
                <w:color w:val="FFFFFF"/>
              </w:rPr>
              <w:t>Элемент</w:t>
            </w:r>
          </w:p>
        </w:tc>
        <w:tc>
          <w:tcPr>
            <w:tcW w:w="6746" w:type="dxa"/>
            <w:shd w:val="clear" w:color="auto" w:fill="173B50"/>
            <w:tcMar>
              <w:top w:w="65" w:type="dxa"/>
              <w:left w:w="85" w:type="dxa"/>
              <w:bottom w:w="65" w:type="dxa"/>
              <w:right w:w="85" w:type="dxa"/>
            </w:tcMar>
            <w:vAlign w:val="center"/>
          </w:tcPr>
          <w:p w14:paraId="6EBAFD14" w14:textId="77777777" w:rsidR="000F1493" w:rsidRDefault="00000000">
            <w:pPr>
              <w:pStyle w:val="TableBody"/>
            </w:pPr>
            <w:r>
              <w:rPr>
                <w:b/>
                <w:color w:val="FFFFFF"/>
              </w:rPr>
              <w:t>Учебное решение</w:t>
            </w:r>
          </w:p>
        </w:tc>
      </w:tr>
      <w:tr w:rsidR="000F1493" w14:paraId="73EA0646" w14:textId="77777777">
        <w:trPr>
          <w:cantSplit/>
          <w:jc w:val="center"/>
        </w:trPr>
        <w:tc>
          <w:tcPr>
            <w:tcW w:w="2891" w:type="dxa"/>
            <w:shd w:val="clear" w:color="auto" w:fill="F0F5F7"/>
            <w:tcMar>
              <w:top w:w="65" w:type="dxa"/>
              <w:left w:w="85" w:type="dxa"/>
              <w:bottom w:w="65" w:type="dxa"/>
              <w:right w:w="85" w:type="dxa"/>
            </w:tcMar>
            <w:vAlign w:val="center"/>
          </w:tcPr>
          <w:p w14:paraId="1031379E" w14:textId="77777777" w:rsidR="000F1493" w:rsidRDefault="00000000">
            <w:pPr>
              <w:pStyle w:val="TableBody"/>
            </w:pPr>
            <w:r>
              <w:t>Единица</w:t>
            </w:r>
          </w:p>
        </w:tc>
        <w:tc>
          <w:tcPr>
            <w:tcW w:w="6746" w:type="dxa"/>
            <w:shd w:val="clear" w:color="auto" w:fill="F0F5F7"/>
            <w:tcMar>
              <w:top w:w="65" w:type="dxa"/>
              <w:left w:w="85" w:type="dxa"/>
              <w:bottom w:w="65" w:type="dxa"/>
              <w:right w:w="85" w:type="dxa"/>
            </w:tcMar>
            <w:vAlign w:val="center"/>
          </w:tcPr>
          <w:p w14:paraId="4B2F62B1" w14:textId="77777777" w:rsidR="000F1493" w:rsidRDefault="00000000">
            <w:pPr>
              <w:pStyle w:val="TableBody"/>
            </w:pPr>
            <w:r>
              <w:t>Один новый участник, а не каждая его сессия</w:t>
            </w:r>
          </w:p>
        </w:tc>
      </w:tr>
      <w:tr w:rsidR="000F1493" w14:paraId="5721FF3A" w14:textId="77777777">
        <w:trPr>
          <w:cantSplit/>
          <w:jc w:val="center"/>
        </w:trPr>
        <w:tc>
          <w:tcPr>
            <w:tcW w:w="2891" w:type="dxa"/>
            <w:shd w:val="clear" w:color="auto" w:fill="FFFFFF"/>
            <w:tcMar>
              <w:top w:w="65" w:type="dxa"/>
              <w:left w:w="85" w:type="dxa"/>
              <w:bottom w:w="65" w:type="dxa"/>
              <w:right w:w="85" w:type="dxa"/>
            </w:tcMar>
            <w:vAlign w:val="center"/>
          </w:tcPr>
          <w:p w14:paraId="73FFB3CC" w14:textId="77777777" w:rsidR="000F1493" w:rsidRDefault="00000000">
            <w:pPr>
              <w:pStyle w:val="TableBody"/>
            </w:pPr>
            <w:r>
              <w:t>Варианты</w:t>
            </w:r>
          </w:p>
        </w:tc>
        <w:tc>
          <w:tcPr>
            <w:tcW w:w="6746" w:type="dxa"/>
            <w:shd w:val="clear" w:color="auto" w:fill="FFFFFF"/>
            <w:tcMar>
              <w:top w:w="65" w:type="dxa"/>
              <w:left w:w="85" w:type="dxa"/>
              <w:bottom w:w="65" w:type="dxa"/>
              <w:right w:w="85" w:type="dxa"/>
            </w:tcMar>
            <w:vAlign w:val="center"/>
          </w:tcPr>
          <w:p w14:paraId="33A1896E" w14:textId="77777777" w:rsidR="000F1493" w:rsidRDefault="00000000">
            <w:pPr>
              <w:pStyle w:val="TableBody"/>
            </w:pPr>
            <w:r>
              <w:t>Два текста с одинаковыми существенными условиями</w:t>
            </w:r>
          </w:p>
        </w:tc>
      </w:tr>
      <w:tr w:rsidR="000F1493" w14:paraId="240B9EFD" w14:textId="77777777">
        <w:trPr>
          <w:cantSplit/>
          <w:jc w:val="center"/>
        </w:trPr>
        <w:tc>
          <w:tcPr>
            <w:tcW w:w="2891" w:type="dxa"/>
            <w:shd w:val="clear" w:color="auto" w:fill="F0F5F7"/>
            <w:tcMar>
              <w:top w:w="65" w:type="dxa"/>
              <w:left w:w="85" w:type="dxa"/>
              <w:bottom w:w="65" w:type="dxa"/>
              <w:right w:w="85" w:type="dxa"/>
            </w:tcMar>
            <w:vAlign w:val="center"/>
          </w:tcPr>
          <w:p w14:paraId="4E492BBC" w14:textId="77777777" w:rsidR="000F1493" w:rsidRDefault="00000000">
            <w:pPr>
              <w:pStyle w:val="TableBody"/>
            </w:pPr>
            <w:r>
              <w:t>Основная метрика</w:t>
            </w:r>
          </w:p>
        </w:tc>
        <w:tc>
          <w:tcPr>
            <w:tcW w:w="6746" w:type="dxa"/>
            <w:shd w:val="clear" w:color="auto" w:fill="F0F5F7"/>
            <w:tcMar>
              <w:top w:w="65" w:type="dxa"/>
              <w:left w:w="85" w:type="dxa"/>
              <w:bottom w:w="65" w:type="dxa"/>
              <w:right w:w="85" w:type="dxa"/>
            </w:tcMar>
            <w:vAlign w:val="center"/>
          </w:tcPr>
          <w:p w14:paraId="681FB911" w14:textId="77777777" w:rsidR="000F1493" w:rsidRDefault="00000000">
            <w:pPr>
              <w:pStyle w:val="TableBody"/>
            </w:pPr>
            <w:r>
              <w:t>Доля правильно понявших статус</w:t>
            </w:r>
          </w:p>
        </w:tc>
      </w:tr>
      <w:tr w:rsidR="000F1493" w14:paraId="3E9AFD93" w14:textId="77777777">
        <w:trPr>
          <w:cantSplit/>
          <w:jc w:val="center"/>
        </w:trPr>
        <w:tc>
          <w:tcPr>
            <w:tcW w:w="2891" w:type="dxa"/>
            <w:shd w:val="clear" w:color="auto" w:fill="FFFFFF"/>
            <w:tcMar>
              <w:top w:w="65" w:type="dxa"/>
              <w:left w:w="85" w:type="dxa"/>
              <w:bottom w:w="65" w:type="dxa"/>
              <w:right w:w="85" w:type="dxa"/>
            </w:tcMar>
            <w:vAlign w:val="center"/>
          </w:tcPr>
          <w:p w14:paraId="6CDF1345" w14:textId="77777777" w:rsidR="000F1493" w:rsidRDefault="00000000">
            <w:pPr>
              <w:pStyle w:val="TableBody"/>
            </w:pPr>
            <w:r>
              <w:t>Дополнительная</w:t>
            </w:r>
          </w:p>
        </w:tc>
        <w:tc>
          <w:tcPr>
            <w:tcW w:w="6746" w:type="dxa"/>
            <w:shd w:val="clear" w:color="auto" w:fill="FFFFFF"/>
            <w:tcMar>
              <w:top w:w="65" w:type="dxa"/>
              <w:left w:w="85" w:type="dxa"/>
              <w:bottom w:w="65" w:type="dxa"/>
              <w:right w:w="85" w:type="dxa"/>
            </w:tcMar>
            <w:vAlign w:val="center"/>
          </w:tcPr>
          <w:p w14:paraId="44F32338" w14:textId="77777777" w:rsidR="000F1493" w:rsidRDefault="00000000">
            <w:pPr>
              <w:pStyle w:val="TableBody"/>
            </w:pPr>
            <w:r>
              <w:t>Фактическое завершение при одинаковом окне</w:t>
            </w:r>
          </w:p>
        </w:tc>
      </w:tr>
      <w:tr w:rsidR="000F1493" w14:paraId="59E0D43A" w14:textId="77777777">
        <w:trPr>
          <w:cantSplit/>
          <w:jc w:val="center"/>
        </w:trPr>
        <w:tc>
          <w:tcPr>
            <w:tcW w:w="2891" w:type="dxa"/>
            <w:shd w:val="clear" w:color="auto" w:fill="F0F5F7"/>
            <w:tcMar>
              <w:top w:w="65" w:type="dxa"/>
              <w:left w:w="85" w:type="dxa"/>
              <w:bottom w:w="65" w:type="dxa"/>
              <w:right w:w="85" w:type="dxa"/>
            </w:tcMar>
            <w:vAlign w:val="center"/>
          </w:tcPr>
          <w:p w14:paraId="5AFECF43" w14:textId="77777777" w:rsidR="000F1493" w:rsidRDefault="00000000">
            <w:pPr>
              <w:pStyle w:val="TableBody"/>
            </w:pPr>
            <w:r>
              <w:t>Защитное условие</w:t>
            </w:r>
          </w:p>
        </w:tc>
        <w:tc>
          <w:tcPr>
            <w:tcW w:w="6746" w:type="dxa"/>
            <w:shd w:val="clear" w:color="auto" w:fill="F0F5F7"/>
            <w:tcMar>
              <w:top w:w="65" w:type="dxa"/>
              <w:left w:w="85" w:type="dxa"/>
              <w:bottom w:w="65" w:type="dxa"/>
              <w:right w:w="85" w:type="dxa"/>
            </w:tcMar>
            <w:vAlign w:val="center"/>
          </w:tcPr>
          <w:p w14:paraId="7C621587" w14:textId="77777777" w:rsidR="000F1493" w:rsidRDefault="00000000">
            <w:pPr>
              <w:pStyle w:val="TableBody"/>
            </w:pPr>
            <w:r>
              <w:t>Нет ложного обещания гарантированного места</w:t>
            </w:r>
          </w:p>
        </w:tc>
      </w:tr>
    </w:tbl>
    <w:p w14:paraId="213A9C66" w14:textId="77777777" w:rsidR="000F1493" w:rsidRDefault="000F1493">
      <w:pPr>
        <w:spacing w:after="0" w:line="60" w:lineRule="exact"/>
      </w:pPr>
    </w:p>
    <w:p w14:paraId="5A18E7FC" w14:textId="77777777" w:rsidR="008A7023" w:rsidRDefault="008A7023"/>
    <w:p w14:paraId="608EBB09" w14:textId="5E6EC217" w:rsidR="000F1493" w:rsidRDefault="00000000">
      <w:r>
        <w:t>Нельзя завершать тест при первом удобном различии без заранее выбранного статистического правила. Также не следует после просмотра данных объявлять главной ту подгруппу, где результат наиболее красив. Поисковой анализ допустим, но он маркируется как дополнительный и требует новой проверки.</w:t>
      </w:r>
    </w:p>
    <w:p w14:paraId="5EAA3B22" w14:textId="77777777" w:rsidR="000F1493" w:rsidRDefault="00000000">
      <w:r>
        <w:t>Этика ограничивает допустимые варианты. Нельзя специально скрывать обязательную цену или лишать людей необходимой информации ради измерения конверсии. Для учебной задачи достаточно безопасного прототипа и плана эксперимента: проведение реального вмешательства не является обязательным условием обучения.</w:t>
      </w:r>
    </w:p>
    <w:p w14:paraId="43AB72A6" w14:textId="77777777" w:rsidR="000F1493" w:rsidRDefault="00000000">
      <w:r>
        <w:br w:type="page"/>
      </w:r>
    </w:p>
    <w:p w14:paraId="235A2857" w14:textId="77777777" w:rsidR="000F1493" w:rsidRDefault="00000000">
      <w:pPr>
        <w:pStyle w:val="1"/>
      </w:pPr>
      <w:r>
        <w:lastRenderedPageBreak/>
        <w:t>3. Реальный кейс: гибридная работа в Trip.com</w:t>
      </w:r>
    </w:p>
    <w:p w14:paraId="54CA69DF" w14:textId="77777777" w:rsidR="000F1493" w:rsidRDefault="00000000">
      <w:r>
        <w:t>Bloom, Han и Liang опубликовали в Nature в июне 2024 года исследование 1 612 сотрудников Trip.com [1]. В эксперименте 2021–2022 годов сравнивались гибридный режим с двумя домашними днями и офисная работа. Доля увольнений составила 4,8% в гибридной группе против 7,2% в контрольной. Авторы также исследовали показатели работы и не выявили ухудшения в рамках примененных проверок. Вывод относится к изученным сотрудникам, режиму и показателям, а не ко всем профессиям.</w:t>
      </w:r>
    </w:p>
    <w:p w14:paraId="744C68CD" w14:textId="77777777" w:rsidR="000F1493" w:rsidRDefault="00000000">
      <w:pPr>
        <w:pStyle w:val="21"/>
      </w:pPr>
      <w:r>
        <w:t>Размер изменения</w:t>
      </w:r>
    </w:p>
    <w:p w14:paraId="325D63AE" w14:textId="77777777" w:rsidR="000F1493" w:rsidRDefault="00000000">
      <w:r>
        <w:t>Разница составляет 4,8 − 7,2 = −2,4 процентного пункта. Относительное снижение к контрольной доле равно 2,4 / 7,2 ≈ 33,3%. Это две формы представления одного сравнения. Фраза «увольнения уменьшились на 2,4%» была бы неоднозначной.</w:t>
      </w:r>
    </w:p>
    <w:p w14:paraId="7CF5A0D1" w14:textId="77777777" w:rsidR="008A7023" w:rsidRDefault="008A7023"/>
    <w:tbl>
      <w:tblPr>
        <w:tblW w:w="0" w:type="auto"/>
        <w:jc w:val="center"/>
        <w:tblLayout w:type="fixed"/>
        <w:tblLook w:val="04A0" w:firstRow="1" w:lastRow="0" w:firstColumn="1" w:lastColumn="0" w:noHBand="0" w:noVBand="1"/>
      </w:tblPr>
      <w:tblGrid>
        <w:gridCol w:w="2891"/>
        <w:gridCol w:w="6746"/>
      </w:tblGrid>
      <w:tr w:rsidR="000F1493" w14:paraId="0CC1A883" w14:textId="77777777">
        <w:trPr>
          <w:cantSplit/>
          <w:tblHeader/>
          <w:jc w:val="center"/>
        </w:trPr>
        <w:tc>
          <w:tcPr>
            <w:tcW w:w="2891" w:type="dxa"/>
            <w:shd w:val="clear" w:color="auto" w:fill="173B50"/>
            <w:tcMar>
              <w:top w:w="65" w:type="dxa"/>
              <w:left w:w="85" w:type="dxa"/>
              <w:bottom w:w="65" w:type="dxa"/>
              <w:right w:w="85" w:type="dxa"/>
            </w:tcMar>
            <w:vAlign w:val="center"/>
          </w:tcPr>
          <w:p w14:paraId="43C5D092" w14:textId="77777777" w:rsidR="000F1493" w:rsidRDefault="00000000">
            <w:pPr>
              <w:pStyle w:val="TableBody"/>
            </w:pPr>
            <w:r>
              <w:rPr>
                <w:b/>
                <w:color w:val="FFFFFF"/>
              </w:rPr>
              <w:t>Вопрос переноса</w:t>
            </w:r>
          </w:p>
        </w:tc>
        <w:tc>
          <w:tcPr>
            <w:tcW w:w="6746" w:type="dxa"/>
            <w:shd w:val="clear" w:color="auto" w:fill="173B50"/>
            <w:tcMar>
              <w:top w:w="65" w:type="dxa"/>
              <w:left w:w="85" w:type="dxa"/>
              <w:bottom w:w="65" w:type="dxa"/>
              <w:right w:w="85" w:type="dxa"/>
            </w:tcMar>
            <w:vAlign w:val="center"/>
          </w:tcPr>
          <w:p w14:paraId="16DF3A06" w14:textId="77777777" w:rsidR="000F1493" w:rsidRDefault="00000000">
            <w:pPr>
              <w:pStyle w:val="TableBody"/>
            </w:pPr>
            <w:r>
              <w:rPr>
                <w:b/>
                <w:color w:val="FFFFFF"/>
              </w:rPr>
              <w:t>Почему он нужен</w:t>
            </w:r>
          </w:p>
        </w:tc>
      </w:tr>
      <w:tr w:rsidR="000F1493" w14:paraId="3503AD71" w14:textId="77777777">
        <w:trPr>
          <w:cantSplit/>
          <w:jc w:val="center"/>
        </w:trPr>
        <w:tc>
          <w:tcPr>
            <w:tcW w:w="2891" w:type="dxa"/>
            <w:shd w:val="clear" w:color="auto" w:fill="F0F5F7"/>
            <w:tcMar>
              <w:top w:w="65" w:type="dxa"/>
              <w:left w:w="85" w:type="dxa"/>
              <w:bottom w:w="65" w:type="dxa"/>
              <w:right w:w="85" w:type="dxa"/>
            </w:tcMar>
            <w:vAlign w:val="center"/>
          </w:tcPr>
          <w:p w14:paraId="7C6A6322" w14:textId="77777777" w:rsidR="000F1493" w:rsidRDefault="00000000">
            <w:pPr>
              <w:pStyle w:val="TableBody"/>
            </w:pPr>
            <w:r>
              <w:t>Совпадает ли тип работы?</w:t>
            </w:r>
          </w:p>
        </w:tc>
        <w:tc>
          <w:tcPr>
            <w:tcW w:w="6746" w:type="dxa"/>
            <w:shd w:val="clear" w:color="auto" w:fill="F0F5F7"/>
            <w:tcMar>
              <w:top w:w="65" w:type="dxa"/>
              <w:left w:w="85" w:type="dxa"/>
              <w:bottom w:w="65" w:type="dxa"/>
              <w:right w:w="85" w:type="dxa"/>
            </w:tcMar>
            <w:vAlign w:val="center"/>
          </w:tcPr>
          <w:p w14:paraId="1869FC60" w14:textId="77777777" w:rsidR="000F1493" w:rsidRDefault="00000000">
            <w:pPr>
              <w:pStyle w:val="TableBody"/>
            </w:pPr>
            <w:r>
              <w:t>Режим может быть неприменим к другой деятельности</w:t>
            </w:r>
          </w:p>
        </w:tc>
      </w:tr>
      <w:tr w:rsidR="000F1493" w14:paraId="2662155F" w14:textId="77777777">
        <w:trPr>
          <w:cantSplit/>
          <w:jc w:val="center"/>
        </w:trPr>
        <w:tc>
          <w:tcPr>
            <w:tcW w:w="2891" w:type="dxa"/>
            <w:shd w:val="clear" w:color="auto" w:fill="FFFFFF"/>
            <w:tcMar>
              <w:top w:w="65" w:type="dxa"/>
              <w:left w:w="85" w:type="dxa"/>
              <w:bottom w:w="65" w:type="dxa"/>
              <w:right w:w="85" w:type="dxa"/>
            </w:tcMar>
            <w:vAlign w:val="center"/>
          </w:tcPr>
          <w:p w14:paraId="6921953A" w14:textId="77777777" w:rsidR="000F1493" w:rsidRDefault="00000000">
            <w:pPr>
              <w:pStyle w:val="TableBody"/>
            </w:pPr>
            <w:r>
              <w:t>Совпадает ли вмешательство?</w:t>
            </w:r>
          </w:p>
        </w:tc>
        <w:tc>
          <w:tcPr>
            <w:tcW w:w="6746" w:type="dxa"/>
            <w:shd w:val="clear" w:color="auto" w:fill="FFFFFF"/>
            <w:tcMar>
              <w:top w:w="65" w:type="dxa"/>
              <w:left w:w="85" w:type="dxa"/>
              <w:bottom w:w="65" w:type="dxa"/>
              <w:right w:w="85" w:type="dxa"/>
            </w:tcMar>
            <w:vAlign w:val="center"/>
          </w:tcPr>
          <w:p w14:paraId="4866AF5B" w14:textId="77777777" w:rsidR="000F1493" w:rsidRDefault="00000000">
            <w:pPr>
              <w:pStyle w:val="TableBody"/>
            </w:pPr>
            <w:r>
              <w:t>Два домашних дня не равны полностью удаленной работе</w:t>
            </w:r>
          </w:p>
        </w:tc>
      </w:tr>
      <w:tr w:rsidR="000F1493" w14:paraId="05D819E6" w14:textId="77777777">
        <w:trPr>
          <w:cantSplit/>
          <w:jc w:val="center"/>
        </w:trPr>
        <w:tc>
          <w:tcPr>
            <w:tcW w:w="2891" w:type="dxa"/>
            <w:shd w:val="clear" w:color="auto" w:fill="F0F5F7"/>
            <w:tcMar>
              <w:top w:w="65" w:type="dxa"/>
              <w:left w:w="85" w:type="dxa"/>
              <w:bottom w:w="65" w:type="dxa"/>
              <w:right w:w="85" w:type="dxa"/>
            </w:tcMar>
            <w:vAlign w:val="center"/>
          </w:tcPr>
          <w:p w14:paraId="1BDA92CA" w14:textId="77777777" w:rsidR="000F1493" w:rsidRDefault="00000000">
            <w:pPr>
              <w:pStyle w:val="TableBody"/>
            </w:pPr>
            <w:r>
              <w:t>Что измерено?</w:t>
            </w:r>
          </w:p>
        </w:tc>
        <w:tc>
          <w:tcPr>
            <w:tcW w:w="6746" w:type="dxa"/>
            <w:shd w:val="clear" w:color="auto" w:fill="F0F5F7"/>
            <w:tcMar>
              <w:top w:w="65" w:type="dxa"/>
              <w:left w:w="85" w:type="dxa"/>
              <w:bottom w:w="65" w:type="dxa"/>
              <w:right w:w="85" w:type="dxa"/>
            </w:tcMar>
            <w:vAlign w:val="center"/>
          </w:tcPr>
          <w:p w14:paraId="2B3E087B" w14:textId="77777777" w:rsidR="000F1493" w:rsidRDefault="00000000">
            <w:pPr>
              <w:pStyle w:val="TableBody"/>
            </w:pPr>
            <w:r>
              <w:t>Удержание, оценки работы и мнение — разные результаты</w:t>
            </w:r>
          </w:p>
        </w:tc>
      </w:tr>
      <w:tr w:rsidR="000F1493" w14:paraId="3BBA40FC" w14:textId="77777777">
        <w:trPr>
          <w:cantSplit/>
          <w:jc w:val="center"/>
        </w:trPr>
        <w:tc>
          <w:tcPr>
            <w:tcW w:w="2891" w:type="dxa"/>
            <w:shd w:val="clear" w:color="auto" w:fill="FFFFFF"/>
            <w:tcMar>
              <w:top w:w="65" w:type="dxa"/>
              <w:left w:w="85" w:type="dxa"/>
              <w:bottom w:w="65" w:type="dxa"/>
              <w:right w:w="85" w:type="dxa"/>
            </w:tcMar>
            <w:vAlign w:val="center"/>
          </w:tcPr>
          <w:p w14:paraId="4E663D68" w14:textId="77777777" w:rsidR="000F1493" w:rsidRDefault="00000000">
            <w:pPr>
              <w:pStyle w:val="TableBody"/>
            </w:pPr>
            <w:r>
              <w:t>Каков горизонт?</w:t>
            </w:r>
          </w:p>
        </w:tc>
        <w:tc>
          <w:tcPr>
            <w:tcW w:w="6746" w:type="dxa"/>
            <w:shd w:val="clear" w:color="auto" w:fill="FFFFFF"/>
            <w:tcMar>
              <w:top w:w="65" w:type="dxa"/>
              <w:left w:w="85" w:type="dxa"/>
              <w:bottom w:w="65" w:type="dxa"/>
              <w:right w:w="85" w:type="dxa"/>
            </w:tcMar>
            <w:vAlign w:val="center"/>
          </w:tcPr>
          <w:p w14:paraId="434EA91B" w14:textId="77777777" w:rsidR="000F1493" w:rsidRDefault="00000000">
            <w:pPr>
              <w:pStyle w:val="TableBody"/>
            </w:pPr>
            <w:r>
              <w:t>Краткий и длительный эффекты могут различаться</w:t>
            </w:r>
          </w:p>
        </w:tc>
      </w:tr>
    </w:tbl>
    <w:p w14:paraId="735BC4A8" w14:textId="77777777" w:rsidR="000F1493" w:rsidRDefault="000F1493">
      <w:pPr>
        <w:spacing w:after="0" w:line="60" w:lineRule="exact"/>
      </w:pPr>
    </w:p>
    <w:p w14:paraId="62E7A702" w14:textId="77777777" w:rsidR="008A7023" w:rsidRDefault="008A7023">
      <w:pPr>
        <w:pStyle w:val="21"/>
      </w:pPr>
    </w:p>
    <w:p w14:paraId="22945B51" w14:textId="76277605" w:rsidR="000F1493" w:rsidRDefault="00000000">
      <w:pPr>
        <w:pStyle w:val="21"/>
      </w:pPr>
      <w:r>
        <w:t>Аналитический язык</w:t>
      </w:r>
    </w:p>
    <w:p w14:paraId="307FF6B0" w14:textId="77777777" w:rsidR="000F1493" w:rsidRDefault="00000000">
      <w:r>
        <w:t>Корректно написать: «Исследование дает основание рассматривать такой режим как перспективный для сопоставимых условий». Некорректно: «Удаленная работа гарантированно повышает производительность на треть». Вторая фраза меняет и вмешательство, и результат, и степень определенности.</w:t>
      </w:r>
    </w:p>
    <w:p w14:paraId="3827839F" w14:textId="77777777" w:rsidR="000F1493" w:rsidRDefault="00000000">
      <w:r>
        <w:t>Кейс показывает ценность хорошего дизайна, но также пределы переноса. Даже причинно обоснованное отличие в исследуемой группе не превращается в универсальное правило. Для новой организации нужен анализ задач, ресурсов, измерений и возможных нежелательных последствий.</w:t>
      </w:r>
    </w:p>
    <w:p w14:paraId="5EF141C0" w14:textId="77777777" w:rsidR="000F1493" w:rsidRDefault="00000000">
      <w:r>
        <w:br w:type="page"/>
      </w:r>
    </w:p>
    <w:p w14:paraId="68745E88" w14:textId="77777777" w:rsidR="000F1493" w:rsidRDefault="00000000">
      <w:pPr>
        <w:pStyle w:val="1"/>
      </w:pPr>
      <w:r>
        <w:lastRenderedPageBreak/>
        <w:t>4. Условный пилот: эффект и экономика</w:t>
      </w:r>
    </w:p>
    <w:p w14:paraId="535B63F1" w14:textId="77777777" w:rsidR="000F1493" w:rsidRDefault="00000000">
      <w:r>
        <w:t>Следующий пример полностью вымышленный и не связан с данными Trip.com. В двух случайно сформированных группах по 500 новых участников базовое сообщение сопровождалось 35 завершениями, обновленное — 50. Определение завершения и окно наблюдения одинаковы, повторные записи исключены заранее.</w:t>
      </w:r>
    </w:p>
    <w:p w14:paraId="7415FAE6" w14:textId="77777777" w:rsidR="000F1493" w:rsidRDefault="00000000">
      <w:r>
        <w:t>Доли равны 35 / 500 = 7% и 50 / 500 = 10%. Наблюдаемая разница — 3 процентного пункта; относительное увеличение — примерно 42,9%. Последняя цифра выглядит крупнее, но не заменяет абсолютного масштаба: в сравнении равных групп речь идет о 15 дополнительных завершениях по точечной оценке.</w:t>
      </w:r>
    </w:p>
    <w:p w14:paraId="0A474E68" w14:textId="77777777" w:rsidR="000F1493" w:rsidRDefault="00000000">
      <w:pPr>
        <w:pStyle w:val="21"/>
      </w:pPr>
      <w:r>
        <w:t>Неопределенность</w:t>
      </w:r>
    </w:p>
    <w:p w14:paraId="6C97A134" w14:textId="77777777" w:rsidR="000F1493" w:rsidRDefault="00000000">
      <w:r>
        <w:t>Даже при правильном распределении результат подвержен случайным колебаниям. Нужны доверительный интервал или другая обоснованная оценка точности, а также проверка процедуры. В рамках этой вводной лекции достаточно не называть различие статистически доказанным без соответствующего расчета.</w:t>
      </w:r>
    </w:p>
    <w:p w14:paraId="2D18D28D" w14:textId="77777777" w:rsidR="008A7023" w:rsidRDefault="008A7023"/>
    <w:tbl>
      <w:tblPr>
        <w:tblW w:w="0" w:type="auto"/>
        <w:jc w:val="center"/>
        <w:tblLayout w:type="fixed"/>
        <w:tblLook w:val="04A0" w:firstRow="1" w:lastRow="0" w:firstColumn="1" w:lastColumn="0" w:noHBand="0" w:noVBand="1"/>
      </w:tblPr>
      <w:tblGrid>
        <w:gridCol w:w="2891"/>
        <w:gridCol w:w="6746"/>
      </w:tblGrid>
      <w:tr w:rsidR="000F1493" w14:paraId="1AB50D2A" w14:textId="77777777">
        <w:trPr>
          <w:cantSplit/>
          <w:tblHeader/>
          <w:jc w:val="center"/>
        </w:trPr>
        <w:tc>
          <w:tcPr>
            <w:tcW w:w="2891" w:type="dxa"/>
            <w:shd w:val="clear" w:color="auto" w:fill="173B50"/>
            <w:tcMar>
              <w:top w:w="65" w:type="dxa"/>
              <w:left w:w="85" w:type="dxa"/>
              <w:bottom w:w="65" w:type="dxa"/>
              <w:right w:w="85" w:type="dxa"/>
            </w:tcMar>
            <w:vAlign w:val="center"/>
          </w:tcPr>
          <w:p w14:paraId="1010354A" w14:textId="77777777" w:rsidR="000F1493" w:rsidRDefault="00000000">
            <w:pPr>
              <w:pStyle w:val="TableBody"/>
            </w:pPr>
            <w:r>
              <w:rPr>
                <w:b/>
                <w:color w:val="FFFFFF"/>
              </w:rPr>
              <w:t>Вопрос</w:t>
            </w:r>
          </w:p>
        </w:tc>
        <w:tc>
          <w:tcPr>
            <w:tcW w:w="6746" w:type="dxa"/>
            <w:shd w:val="clear" w:color="auto" w:fill="173B50"/>
            <w:tcMar>
              <w:top w:w="65" w:type="dxa"/>
              <w:left w:w="85" w:type="dxa"/>
              <w:bottom w:w="65" w:type="dxa"/>
              <w:right w:w="85" w:type="dxa"/>
            </w:tcMar>
            <w:vAlign w:val="center"/>
          </w:tcPr>
          <w:p w14:paraId="58D912DA" w14:textId="77777777" w:rsidR="000F1493" w:rsidRDefault="00000000">
            <w:pPr>
              <w:pStyle w:val="TableBody"/>
            </w:pPr>
            <w:r>
              <w:rPr>
                <w:b/>
                <w:color w:val="FFFFFF"/>
              </w:rPr>
              <w:t>Осторожный ответ</w:t>
            </w:r>
          </w:p>
        </w:tc>
      </w:tr>
      <w:tr w:rsidR="000F1493" w14:paraId="4D6CB9B5" w14:textId="77777777">
        <w:trPr>
          <w:cantSplit/>
          <w:jc w:val="center"/>
        </w:trPr>
        <w:tc>
          <w:tcPr>
            <w:tcW w:w="2891" w:type="dxa"/>
            <w:shd w:val="clear" w:color="auto" w:fill="F0F5F7"/>
            <w:tcMar>
              <w:top w:w="65" w:type="dxa"/>
              <w:left w:w="85" w:type="dxa"/>
              <w:bottom w:w="65" w:type="dxa"/>
              <w:right w:w="85" w:type="dxa"/>
            </w:tcMar>
            <w:vAlign w:val="center"/>
          </w:tcPr>
          <w:p w14:paraId="2EC6C12D" w14:textId="77777777" w:rsidR="000F1493" w:rsidRDefault="00000000">
            <w:pPr>
              <w:pStyle w:val="TableBody"/>
            </w:pPr>
            <w:r>
              <w:t>Каково наблюдаемое отличие?</w:t>
            </w:r>
          </w:p>
        </w:tc>
        <w:tc>
          <w:tcPr>
            <w:tcW w:w="6746" w:type="dxa"/>
            <w:shd w:val="clear" w:color="auto" w:fill="F0F5F7"/>
            <w:tcMar>
              <w:top w:w="65" w:type="dxa"/>
              <w:left w:w="85" w:type="dxa"/>
              <w:bottom w:w="65" w:type="dxa"/>
              <w:right w:w="85" w:type="dxa"/>
            </w:tcMar>
            <w:vAlign w:val="center"/>
          </w:tcPr>
          <w:p w14:paraId="19EDA8AD" w14:textId="77777777" w:rsidR="000F1493" w:rsidRDefault="00000000">
            <w:pPr>
              <w:pStyle w:val="TableBody"/>
            </w:pPr>
            <w:r>
              <w:t>3 процентного пункта</w:t>
            </w:r>
          </w:p>
        </w:tc>
      </w:tr>
      <w:tr w:rsidR="000F1493" w14:paraId="5A5F0C43" w14:textId="77777777">
        <w:trPr>
          <w:cantSplit/>
          <w:jc w:val="center"/>
        </w:trPr>
        <w:tc>
          <w:tcPr>
            <w:tcW w:w="2891" w:type="dxa"/>
            <w:shd w:val="clear" w:color="auto" w:fill="FFFFFF"/>
            <w:tcMar>
              <w:top w:w="65" w:type="dxa"/>
              <w:left w:w="85" w:type="dxa"/>
              <w:bottom w:w="65" w:type="dxa"/>
              <w:right w:w="85" w:type="dxa"/>
            </w:tcMar>
            <w:vAlign w:val="center"/>
          </w:tcPr>
          <w:p w14:paraId="5F1D2BD2" w14:textId="77777777" w:rsidR="000F1493" w:rsidRDefault="00000000">
            <w:pPr>
              <w:pStyle w:val="TableBody"/>
            </w:pPr>
            <w:r>
              <w:t>Гарантировано ли оно в будущем?</w:t>
            </w:r>
          </w:p>
        </w:tc>
        <w:tc>
          <w:tcPr>
            <w:tcW w:w="6746" w:type="dxa"/>
            <w:shd w:val="clear" w:color="auto" w:fill="FFFFFF"/>
            <w:tcMar>
              <w:top w:w="65" w:type="dxa"/>
              <w:left w:w="85" w:type="dxa"/>
              <w:bottom w:w="65" w:type="dxa"/>
              <w:right w:w="85" w:type="dxa"/>
            </w:tcMar>
            <w:vAlign w:val="center"/>
          </w:tcPr>
          <w:p w14:paraId="7D26F3AC" w14:textId="77777777" w:rsidR="000F1493" w:rsidRDefault="00000000">
            <w:pPr>
              <w:pStyle w:val="TableBody"/>
            </w:pPr>
            <w:r>
              <w:t>Нет, требуется оценка точности и условий</w:t>
            </w:r>
          </w:p>
        </w:tc>
      </w:tr>
      <w:tr w:rsidR="000F1493" w14:paraId="26200C30" w14:textId="77777777">
        <w:trPr>
          <w:cantSplit/>
          <w:jc w:val="center"/>
        </w:trPr>
        <w:tc>
          <w:tcPr>
            <w:tcW w:w="2891" w:type="dxa"/>
            <w:shd w:val="clear" w:color="auto" w:fill="F0F5F7"/>
            <w:tcMar>
              <w:top w:w="65" w:type="dxa"/>
              <w:left w:w="85" w:type="dxa"/>
              <w:bottom w:w="65" w:type="dxa"/>
              <w:right w:w="85" w:type="dxa"/>
            </w:tcMar>
            <w:vAlign w:val="center"/>
          </w:tcPr>
          <w:p w14:paraId="0B664D12" w14:textId="77777777" w:rsidR="000F1493" w:rsidRDefault="00000000">
            <w:pPr>
              <w:pStyle w:val="TableBody"/>
            </w:pPr>
            <w:r>
              <w:t>Раскрыт ли механизм?</w:t>
            </w:r>
          </w:p>
        </w:tc>
        <w:tc>
          <w:tcPr>
            <w:tcW w:w="6746" w:type="dxa"/>
            <w:shd w:val="clear" w:color="auto" w:fill="F0F5F7"/>
            <w:tcMar>
              <w:top w:w="65" w:type="dxa"/>
              <w:left w:w="85" w:type="dxa"/>
              <w:bottom w:w="65" w:type="dxa"/>
              <w:right w:w="85" w:type="dxa"/>
            </w:tcMar>
            <w:vAlign w:val="center"/>
          </w:tcPr>
          <w:p w14:paraId="6EA76023" w14:textId="77777777" w:rsidR="000F1493" w:rsidRDefault="00000000">
            <w:pPr>
              <w:pStyle w:val="TableBody"/>
            </w:pPr>
            <w:r>
              <w:t>Не полностью: возможно влияние разных свойств текста</w:t>
            </w:r>
          </w:p>
        </w:tc>
      </w:tr>
      <w:tr w:rsidR="000F1493" w14:paraId="62668563" w14:textId="77777777">
        <w:trPr>
          <w:cantSplit/>
          <w:jc w:val="center"/>
        </w:trPr>
        <w:tc>
          <w:tcPr>
            <w:tcW w:w="2891" w:type="dxa"/>
            <w:shd w:val="clear" w:color="auto" w:fill="FFFFFF"/>
            <w:tcMar>
              <w:top w:w="65" w:type="dxa"/>
              <w:left w:w="85" w:type="dxa"/>
              <w:bottom w:w="65" w:type="dxa"/>
              <w:right w:w="85" w:type="dxa"/>
            </w:tcMar>
            <w:vAlign w:val="center"/>
          </w:tcPr>
          <w:p w14:paraId="36804F73" w14:textId="77777777" w:rsidR="000F1493" w:rsidRDefault="00000000">
            <w:pPr>
              <w:pStyle w:val="TableBody"/>
            </w:pPr>
            <w:r>
              <w:t>Нужно ли сразу масштабировать?</w:t>
            </w:r>
          </w:p>
        </w:tc>
        <w:tc>
          <w:tcPr>
            <w:tcW w:w="6746" w:type="dxa"/>
            <w:shd w:val="clear" w:color="auto" w:fill="FFFFFF"/>
            <w:tcMar>
              <w:top w:w="65" w:type="dxa"/>
              <w:left w:w="85" w:type="dxa"/>
              <w:bottom w:w="65" w:type="dxa"/>
              <w:right w:w="85" w:type="dxa"/>
            </w:tcMar>
            <w:vAlign w:val="center"/>
          </w:tcPr>
          <w:p w14:paraId="7374C996" w14:textId="77777777" w:rsidR="000F1493" w:rsidRDefault="00000000">
            <w:pPr>
              <w:pStyle w:val="TableBody"/>
            </w:pPr>
            <w:r>
              <w:t>Решение зависит от риска и стоимости проверки</w:t>
            </w:r>
          </w:p>
        </w:tc>
      </w:tr>
    </w:tbl>
    <w:p w14:paraId="12181796" w14:textId="77777777" w:rsidR="000F1493" w:rsidRDefault="000F1493">
      <w:pPr>
        <w:spacing w:after="0" w:line="60" w:lineRule="exact"/>
      </w:pPr>
    </w:p>
    <w:p w14:paraId="69D75800" w14:textId="77777777" w:rsidR="008A7023" w:rsidRDefault="008A7023">
      <w:pPr>
        <w:pStyle w:val="21"/>
      </w:pPr>
    </w:p>
    <w:p w14:paraId="414D8931" w14:textId="2C523C12" w:rsidR="000F1493" w:rsidRDefault="00000000">
      <w:pPr>
        <w:pStyle w:val="21"/>
      </w:pPr>
      <w:r>
        <w:t>Упрощенный экономический расчет</w:t>
      </w:r>
    </w:p>
    <w:p w14:paraId="56950360" w14:textId="77777777" w:rsidR="000F1493" w:rsidRDefault="00000000">
      <w:r>
        <w:t>При условном вкладе 5 000 тенге на завершение дополнительные 15 дают 75 000 тенге. Если разовая подготовка стоила 60 000, точечная оценка разницы после этой статьи — 15 000 тенге. Неучтенные расходы и неопределенность эффекта сохраняются; это не гарантированная чистая прибыль.</w:t>
      </w:r>
    </w:p>
    <w:p w14:paraId="2DAF6D44" w14:textId="77777777" w:rsidR="000F1493" w:rsidRDefault="00000000">
      <w:r>
        <w:t>Полезно посчитать порог: 60 000 / 5 000 = 12 дополнительных завершений. При эффекте меньше этого уровня выбранный горизонт не покрывает названные затраты. Такой расчет помогает сформулировать решение, не превращая удачный пилот в бессрочный прогноз.</w:t>
      </w:r>
    </w:p>
    <w:p w14:paraId="3DFF990D" w14:textId="77777777" w:rsidR="000F1493" w:rsidRDefault="00000000">
      <w:r>
        <w:br w:type="page"/>
      </w:r>
    </w:p>
    <w:p w14:paraId="119F6F47" w14:textId="77777777" w:rsidR="000F1493" w:rsidRDefault="00000000">
      <w:pPr>
        <w:pStyle w:val="1"/>
      </w:pPr>
      <w:r>
        <w:lastRenderedPageBreak/>
        <w:t>5. Как писать результат и ограничения</w:t>
      </w:r>
    </w:p>
    <w:p w14:paraId="2C7CAB52" w14:textId="77777777" w:rsidR="000F1493" w:rsidRDefault="00000000">
      <w:r>
        <w:t>Аналитический абзац должен сообщить дизайн, группы, показатель, величину различия и предел вывода. Метод не прячется только в приложении, если от него зависит причинная формулировка. Слово «эксперимент» не употребляется для любого сравнения двух дат.</w:t>
      </w:r>
    </w:p>
    <w:p w14:paraId="45C528ED" w14:textId="77777777" w:rsidR="000F1493" w:rsidRDefault="00000000">
      <w:pPr>
        <w:pStyle w:val="21"/>
      </w:pPr>
      <w:r>
        <w:t>Две версии вывода</w:t>
      </w:r>
    </w:p>
    <w:p w14:paraId="37BFF885" w14:textId="77777777" w:rsidR="000F1493" w:rsidRDefault="00000000">
      <w:r>
        <w:t>Слабая: «Новый текст увеличил продажи на 43%, поэтому он эффективен».</w:t>
      </w:r>
    </w:p>
    <w:p w14:paraId="5AADD9C9" w14:textId="77777777" w:rsidR="000F1493" w:rsidRDefault="00000000">
      <w:r>
        <w:t>Уточненная: «В условном пилоте доля завершивших занятия составила 10% в группе обновленного сообщения и 7% в контрольной, по 500 участников в каждой. Наблюдаемая разница равна 3 процентным пунктам. Перед расширением необходимо оценить точность и проверить, не сопровождается ли изменение ложным пониманием статуса. Экономический результат зависит от сохранения эффекта и включенных затрат».</w:t>
      </w:r>
    </w:p>
    <w:p w14:paraId="5A88DB32" w14:textId="77777777" w:rsidR="000F1493" w:rsidRDefault="00000000">
      <w:r>
        <w:t>Во второй версии соблюдены единицы, не смешаны завершения и продажи, названо основание. Она не отказывается от решения, а делает условия его принятия явными. Уверенность не должна появляться только благодаря сокращению текста.</w:t>
      </w:r>
    </w:p>
    <w:p w14:paraId="4F4DEB93" w14:textId="77777777" w:rsidR="000F1493" w:rsidRDefault="00000000">
      <w:pPr>
        <w:pStyle w:val="21"/>
      </w:pPr>
      <w:r>
        <w:t>Альтернативы после проверки</w:t>
      </w:r>
    </w:p>
    <w:p w14:paraId="7B533B25" w14:textId="77777777" w:rsidR="000F1493" w:rsidRDefault="00000000">
      <w:r>
        <w:t>Возможны продолжение ограниченного пилота, уточнение сообщения, отказ от изменения или расширение с мониторингом. Нулевой результат тоже полезен: он может предотвратить затраты. Но отсутствие убедительного эффекта не доказывает, что эффект точно равен нулю.</w:t>
      </w:r>
    </w:p>
    <w:p w14:paraId="1A277C95" w14:textId="77777777" w:rsidR="008A7023" w:rsidRDefault="008A7023"/>
    <w:tbl>
      <w:tblPr>
        <w:tblW w:w="0" w:type="auto"/>
        <w:jc w:val="center"/>
        <w:tblLayout w:type="fixed"/>
        <w:tblLook w:val="04A0" w:firstRow="1" w:lastRow="0" w:firstColumn="1" w:lastColumn="0" w:noHBand="0" w:noVBand="1"/>
      </w:tblPr>
      <w:tblGrid>
        <w:gridCol w:w="2891"/>
        <w:gridCol w:w="6746"/>
      </w:tblGrid>
      <w:tr w:rsidR="000F1493" w14:paraId="43D85EC4" w14:textId="77777777">
        <w:trPr>
          <w:cantSplit/>
          <w:tblHeader/>
          <w:jc w:val="center"/>
        </w:trPr>
        <w:tc>
          <w:tcPr>
            <w:tcW w:w="2891" w:type="dxa"/>
            <w:shd w:val="clear" w:color="auto" w:fill="173B50"/>
            <w:tcMar>
              <w:top w:w="65" w:type="dxa"/>
              <w:left w:w="85" w:type="dxa"/>
              <w:bottom w:w="65" w:type="dxa"/>
              <w:right w:w="85" w:type="dxa"/>
            </w:tcMar>
            <w:vAlign w:val="center"/>
          </w:tcPr>
          <w:p w14:paraId="4310E4FD" w14:textId="77777777" w:rsidR="000F1493" w:rsidRDefault="00000000">
            <w:pPr>
              <w:pStyle w:val="TableBody"/>
            </w:pPr>
            <w:r>
              <w:rPr>
                <w:b/>
                <w:color w:val="FFFFFF"/>
              </w:rPr>
              <w:t>Ошибка</w:t>
            </w:r>
          </w:p>
        </w:tc>
        <w:tc>
          <w:tcPr>
            <w:tcW w:w="6746" w:type="dxa"/>
            <w:shd w:val="clear" w:color="auto" w:fill="173B50"/>
            <w:tcMar>
              <w:top w:w="65" w:type="dxa"/>
              <w:left w:w="85" w:type="dxa"/>
              <w:bottom w:w="65" w:type="dxa"/>
              <w:right w:w="85" w:type="dxa"/>
            </w:tcMar>
            <w:vAlign w:val="center"/>
          </w:tcPr>
          <w:p w14:paraId="7A2DA323" w14:textId="77777777" w:rsidR="000F1493" w:rsidRDefault="00000000">
            <w:pPr>
              <w:pStyle w:val="TableBody"/>
            </w:pPr>
            <w:r>
              <w:rPr>
                <w:b/>
                <w:color w:val="FFFFFF"/>
              </w:rPr>
              <w:t>Что сохранить в тексте</w:t>
            </w:r>
          </w:p>
        </w:tc>
      </w:tr>
      <w:tr w:rsidR="000F1493" w14:paraId="5BA82651" w14:textId="77777777">
        <w:trPr>
          <w:cantSplit/>
          <w:jc w:val="center"/>
        </w:trPr>
        <w:tc>
          <w:tcPr>
            <w:tcW w:w="2891" w:type="dxa"/>
            <w:shd w:val="clear" w:color="auto" w:fill="F0F5F7"/>
            <w:tcMar>
              <w:top w:w="65" w:type="dxa"/>
              <w:left w:w="85" w:type="dxa"/>
              <w:bottom w:w="65" w:type="dxa"/>
              <w:right w:w="85" w:type="dxa"/>
            </w:tcMar>
            <w:vAlign w:val="center"/>
          </w:tcPr>
          <w:p w14:paraId="5EB85227" w14:textId="77777777" w:rsidR="000F1493" w:rsidRDefault="00000000">
            <w:pPr>
              <w:pStyle w:val="TableBody"/>
            </w:pPr>
            <w:r>
              <w:t>Только относительный процент</w:t>
            </w:r>
          </w:p>
        </w:tc>
        <w:tc>
          <w:tcPr>
            <w:tcW w:w="6746" w:type="dxa"/>
            <w:shd w:val="clear" w:color="auto" w:fill="F0F5F7"/>
            <w:tcMar>
              <w:top w:w="65" w:type="dxa"/>
              <w:left w:w="85" w:type="dxa"/>
              <w:bottom w:w="65" w:type="dxa"/>
              <w:right w:w="85" w:type="dxa"/>
            </w:tcMar>
            <w:vAlign w:val="center"/>
          </w:tcPr>
          <w:p w14:paraId="603490E9" w14:textId="77777777" w:rsidR="000F1493" w:rsidRDefault="00000000">
            <w:pPr>
              <w:pStyle w:val="TableBody"/>
            </w:pPr>
            <w:r>
              <w:t>Исходные уровни и абсолютное отличие</w:t>
            </w:r>
          </w:p>
        </w:tc>
      </w:tr>
      <w:tr w:rsidR="000F1493" w14:paraId="339D1248" w14:textId="77777777">
        <w:trPr>
          <w:cantSplit/>
          <w:jc w:val="center"/>
        </w:trPr>
        <w:tc>
          <w:tcPr>
            <w:tcW w:w="2891" w:type="dxa"/>
            <w:shd w:val="clear" w:color="auto" w:fill="FFFFFF"/>
            <w:tcMar>
              <w:top w:w="65" w:type="dxa"/>
              <w:left w:w="85" w:type="dxa"/>
              <w:bottom w:w="65" w:type="dxa"/>
              <w:right w:w="85" w:type="dxa"/>
            </w:tcMar>
            <w:vAlign w:val="center"/>
          </w:tcPr>
          <w:p w14:paraId="5CD2CBF0" w14:textId="77777777" w:rsidR="000F1493" w:rsidRDefault="00000000">
            <w:pPr>
              <w:pStyle w:val="TableBody"/>
            </w:pPr>
            <w:r>
              <w:t>Только положительный показатель</w:t>
            </w:r>
          </w:p>
        </w:tc>
        <w:tc>
          <w:tcPr>
            <w:tcW w:w="6746" w:type="dxa"/>
            <w:shd w:val="clear" w:color="auto" w:fill="FFFFFF"/>
            <w:tcMar>
              <w:top w:w="65" w:type="dxa"/>
              <w:left w:w="85" w:type="dxa"/>
              <w:bottom w:w="65" w:type="dxa"/>
              <w:right w:w="85" w:type="dxa"/>
            </w:tcMar>
            <w:vAlign w:val="center"/>
          </w:tcPr>
          <w:p w14:paraId="1DE6A037" w14:textId="77777777" w:rsidR="000F1493" w:rsidRDefault="00000000">
            <w:pPr>
              <w:pStyle w:val="TableBody"/>
            </w:pPr>
            <w:r>
              <w:t>Защитные и неблагоприятные результаты</w:t>
            </w:r>
          </w:p>
        </w:tc>
      </w:tr>
      <w:tr w:rsidR="000F1493" w14:paraId="11986D1E" w14:textId="77777777">
        <w:trPr>
          <w:cantSplit/>
          <w:jc w:val="center"/>
        </w:trPr>
        <w:tc>
          <w:tcPr>
            <w:tcW w:w="2891" w:type="dxa"/>
            <w:shd w:val="clear" w:color="auto" w:fill="F0F5F7"/>
            <w:tcMar>
              <w:top w:w="65" w:type="dxa"/>
              <w:left w:w="85" w:type="dxa"/>
              <w:bottom w:w="65" w:type="dxa"/>
              <w:right w:w="85" w:type="dxa"/>
            </w:tcMar>
            <w:vAlign w:val="center"/>
          </w:tcPr>
          <w:p w14:paraId="2BD325C1" w14:textId="77777777" w:rsidR="000F1493" w:rsidRDefault="00000000">
            <w:pPr>
              <w:pStyle w:val="TableBody"/>
            </w:pPr>
            <w:r>
              <w:t>Автоматическая причинность</w:t>
            </w:r>
          </w:p>
        </w:tc>
        <w:tc>
          <w:tcPr>
            <w:tcW w:w="6746" w:type="dxa"/>
            <w:shd w:val="clear" w:color="auto" w:fill="F0F5F7"/>
            <w:tcMar>
              <w:top w:w="65" w:type="dxa"/>
              <w:left w:w="85" w:type="dxa"/>
              <w:bottom w:w="65" w:type="dxa"/>
              <w:right w:w="85" w:type="dxa"/>
            </w:tcMar>
            <w:vAlign w:val="center"/>
          </w:tcPr>
          <w:p w14:paraId="5E5C2F88" w14:textId="77777777" w:rsidR="000F1493" w:rsidRDefault="00000000">
            <w:pPr>
              <w:pStyle w:val="TableBody"/>
            </w:pPr>
            <w:r>
              <w:t>Дизайн и альтернативные объяснения</w:t>
            </w:r>
          </w:p>
        </w:tc>
      </w:tr>
      <w:tr w:rsidR="000F1493" w14:paraId="6C060E5E" w14:textId="77777777">
        <w:trPr>
          <w:cantSplit/>
          <w:jc w:val="center"/>
        </w:trPr>
        <w:tc>
          <w:tcPr>
            <w:tcW w:w="2891" w:type="dxa"/>
            <w:shd w:val="clear" w:color="auto" w:fill="FFFFFF"/>
            <w:tcMar>
              <w:top w:w="65" w:type="dxa"/>
              <w:left w:w="85" w:type="dxa"/>
              <w:bottom w:w="65" w:type="dxa"/>
              <w:right w:w="85" w:type="dxa"/>
            </w:tcMar>
            <w:vAlign w:val="center"/>
          </w:tcPr>
          <w:p w14:paraId="1F9EE347" w14:textId="77777777" w:rsidR="000F1493" w:rsidRDefault="00000000">
            <w:pPr>
              <w:pStyle w:val="TableBody"/>
            </w:pPr>
            <w:r>
              <w:t>Бесконечный прогноз</w:t>
            </w:r>
          </w:p>
        </w:tc>
        <w:tc>
          <w:tcPr>
            <w:tcW w:w="6746" w:type="dxa"/>
            <w:shd w:val="clear" w:color="auto" w:fill="FFFFFF"/>
            <w:tcMar>
              <w:top w:w="65" w:type="dxa"/>
              <w:left w:w="85" w:type="dxa"/>
              <w:bottom w:w="65" w:type="dxa"/>
              <w:right w:w="85" w:type="dxa"/>
            </w:tcMar>
            <w:vAlign w:val="center"/>
          </w:tcPr>
          <w:p w14:paraId="2D81EA4B" w14:textId="77777777" w:rsidR="000F1493" w:rsidRDefault="00000000">
            <w:pPr>
              <w:pStyle w:val="TableBody"/>
            </w:pPr>
            <w:r>
              <w:t>Горизонт и условия применимости</w:t>
            </w:r>
          </w:p>
        </w:tc>
      </w:tr>
    </w:tbl>
    <w:p w14:paraId="3F622528" w14:textId="77777777" w:rsidR="000F1493" w:rsidRDefault="000F1493">
      <w:pPr>
        <w:spacing w:after="0" w:line="60" w:lineRule="exact"/>
      </w:pPr>
    </w:p>
    <w:p w14:paraId="612E480B" w14:textId="77777777" w:rsidR="008A7023" w:rsidRDefault="008A7023"/>
    <w:p w14:paraId="333856DC" w14:textId="77E32C7A" w:rsidR="000F1493" w:rsidRDefault="00000000">
      <w:r>
        <w:t>Перед выпуском проверьте заголовок. «Пилот выявил различие» и «метод гарантирует рост» создают разные ожидания. Объем свидетельства должен определять силу тезиса, а не желание сделать материал более привлекательным.</w:t>
      </w:r>
    </w:p>
    <w:sectPr w:rsidR="000F1493"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74127" w14:textId="77777777" w:rsidR="00B765BF" w:rsidRDefault="00B765BF">
      <w:pPr>
        <w:spacing w:after="0" w:line="240" w:lineRule="auto"/>
      </w:pPr>
      <w:r>
        <w:separator/>
      </w:r>
    </w:p>
  </w:endnote>
  <w:endnote w:type="continuationSeparator" w:id="0">
    <w:p w14:paraId="6C9F540A" w14:textId="77777777" w:rsidR="00B765BF" w:rsidRDefault="00B7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057F" w14:textId="21F8F473" w:rsidR="000F1493" w:rsidRDefault="000F1493">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A6A7" w14:textId="77777777" w:rsidR="00B765BF" w:rsidRDefault="00B765BF">
      <w:pPr>
        <w:spacing w:after="0" w:line="240" w:lineRule="auto"/>
      </w:pPr>
      <w:r>
        <w:separator/>
      </w:r>
    </w:p>
  </w:footnote>
  <w:footnote w:type="continuationSeparator" w:id="0">
    <w:p w14:paraId="7AE1CF0D" w14:textId="77777777" w:rsidR="00B765BF" w:rsidRDefault="00B7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08D6" w14:textId="6B7C7DF4" w:rsidR="000F1493" w:rsidRDefault="000F1493">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37513038">
    <w:abstractNumId w:val="8"/>
  </w:num>
  <w:num w:numId="2" w16cid:durableId="1463964495">
    <w:abstractNumId w:val="6"/>
  </w:num>
  <w:num w:numId="3" w16cid:durableId="1891918236">
    <w:abstractNumId w:val="5"/>
  </w:num>
  <w:num w:numId="4" w16cid:durableId="695927835">
    <w:abstractNumId w:val="4"/>
  </w:num>
  <w:num w:numId="5" w16cid:durableId="704214353">
    <w:abstractNumId w:val="7"/>
  </w:num>
  <w:num w:numId="6" w16cid:durableId="1421680489">
    <w:abstractNumId w:val="3"/>
  </w:num>
  <w:num w:numId="7" w16cid:durableId="1342733115">
    <w:abstractNumId w:val="2"/>
  </w:num>
  <w:num w:numId="8" w16cid:durableId="1359576655">
    <w:abstractNumId w:val="1"/>
  </w:num>
  <w:num w:numId="9" w16cid:durableId="39527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493"/>
    <w:rsid w:val="0015074B"/>
    <w:rsid w:val="0029639D"/>
    <w:rsid w:val="00326F90"/>
    <w:rsid w:val="00357878"/>
    <w:rsid w:val="008A7023"/>
    <w:rsid w:val="00AA1D8D"/>
    <w:rsid w:val="00B47730"/>
    <w:rsid w:val="00B765B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A0557"/>
  <w14:defaultImageDpi w14:val="300"/>
  <w15:docId w15:val="{97A3B959-9AAB-433D-9A98-FE93550F7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7</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2026-10-07T18:47:00Z</dcterms:modified>
  <cp:category/>
</cp:coreProperties>
</file>