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59CEB" w14:textId="77777777" w:rsidR="0026001F" w:rsidRDefault="00000000">
      <w:pPr>
        <w:pStyle w:val="aa"/>
      </w:pPr>
      <w:r>
        <w:t>Качественная аналитика: интервью, документы и тематическое кодирование</w:t>
      </w:r>
    </w:p>
    <w:p w14:paraId="082E0756" w14:textId="77777777" w:rsidR="0026001F" w:rsidRDefault="00000000">
      <w:pPr>
        <w:pStyle w:val="1"/>
      </w:pPr>
      <w:r>
        <w:t>1. Вопрос, участники и материалы</w:t>
      </w:r>
    </w:p>
    <w:p w14:paraId="68DC2E74" w14:textId="77777777" w:rsidR="0026001F" w:rsidRDefault="00000000">
      <w:r>
        <w:t>Качественное исследование подходит для вопросов о процессе, смысле, контексте и различии опыта. «Как человек понял подтверждение?» отличается от «какая доля всех клиентов его поняла?». Первый вопрос можно исследовать подробным разбором эпизодов; второй требует отдельного измерительного и выборочного основания.</w:t>
      </w:r>
    </w:p>
    <w:p w14:paraId="61EF0B87" w14:textId="77777777" w:rsidR="0026001F" w:rsidRDefault="00000000">
      <w:r>
        <w:t>Отбор участников должен быть связан с разнообразием значимых ситуаций. Для центра полезно рассмотреть пришедших, отменивших и не явившихся после подтверждения. Разделение по статусу не объясняет мотивы заранее, а помогает не ограничиться только доступными довольными участниками.</w:t>
      </w:r>
    </w:p>
    <w:p w14:paraId="2A9A2FC2" w14:textId="77777777" w:rsidR="0026001F" w:rsidRDefault="00000000">
      <w:pPr>
        <w:pStyle w:val="21"/>
      </w:pPr>
      <w:r>
        <w:t>Интервью о конкретном эпизоде</w:t>
      </w:r>
    </w:p>
    <w:p w14:paraId="7826E6A9" w14:textId="77777777" w:rsidR="0026001F" w:rsidRDefault="00000000">
      <w:r>
        <w:t>Начните с последнего случая: когда возникла задача, какие сообщения были получены, что человек сделал и чего ожидал. Избегайте вопроса «Вы не пришли из-за неудобного интерфейса?». Он предлагает причину и может направить ответ. Лучше спросить: «Что произошло после получения сообщения?»</w:t>
      </w:r>
    </w:p>
    <w:p w14:paraId="20E5B958" w14:textId="77777777" w:rsidR="003A1F8A" w:rsidRDefault="003A1F8A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26001F" w14:paraId="251A4D58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6BE2A6" w14:textId="77777777" w:rsidR="0026001F" w:rsidRDefault="00000000">
            <w:pPr>
              <w:pStyle w:val="TableBody"/>
            </w:pPr>
            <w:r>
              <w:rPr>
                <w:b/>
                <w:color w:val="FFFFFF"/>
              </w:rPr>
              <w:t>Цель вопроса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E2BA84" w14:textId="77777777" w:rsidR="0026001F" w:rsidRDefault="00000000">
            <w:pPr>
              <w:pStyle w:val="TableBody"/>
            </w:pPr>
            <w:r>
              <w:rPr>
                <w:b/>
                <w:color w:val="FFFFFF"/>
              </w:rPr>
              <w:t>Нейтральная формулировка</w:t>
            </w:r>
          </w:p>
        </w:tc>
      </w:tr>
      <w:tr w:rsidR="0026001F" w14:paraId="211EABDC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15F850" w14:textId="77777777" w:rsidR="0026001F" w:rsidRDefault="00000000">
            <w:pPr>
              <w:pStyle w:val="TableBody"/>
            </w:pPr>
            <w:r>
              <w:t>Восстановить последовательность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E422FA" w14:textId="77777777" w:rsidR="0026001F" w:rsidRDefault="00000000">
            <w:pPr>
              <w:pStyle w:val="TableBody"/>
            </w:pPr>
            <w:r>
              <w:t>Что вы сделали затем?</w:t>
            </w:r>
          </w:p>
        </w:tc>
      </w:tr>
      <w:tr w:rsidR="0026001F" w14:paraId="3B2A9C25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B3E500" w14:textId="77777777" w:rsidR="0026001F" w:rsidRDefault="00000000">
            <w:pPr>
              <w:pStyle w:val="TableBody"/>
            </w:pPr>
            <w:r>
              <w:t>Уточнить понимание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64EED2" w14:textId="77777777" w:rsidR="0026001F" w:rsidRDefault="00000000">
            <w:pPr>
              <w:pStyle w:val="TableBody"/>
            </w:pPr>
            <w:r>
              <w:t>Какой результат вы ожидали?</w:t>
            </w:r>
          </w:p>
        </w:tc>
      </w:tr>
      <w:tr w:rsidR="0026001F" w14:paraId="5BBBEC8A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B51793" w14:textId="77777777" w:rsidR="0026001F" w:rsidRDefault="00000000">
            <w:pPr>
              <w:pStyle w:val="TableBody"/>
            </w:pPr>
            <w:r>
              <w:t>Найти основание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564C59" w14:textId="77777777" w:rsidR="0026001F" w:rsidRDefault="00000000">
            <w:pPr>
              <w:pStyle w:val="TableBody"/>
            </w:pPr>
            <w:r>
              <w:t>На какие слова вы опирались?</w:t>
            </w:r>
          </w:p>
        </w:tc>
      </w:tr>
      <w:tr w:rsidR="0026001F" w14:paraId="2FAC59F2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6E4DDD" w14:textId="77777777" w:rsidR="0026001F" w:rsidRDefault="00000000">
            <w:pPr>
              <w:pStyle w:val="TableBody"/>
            </w:pPr>
            <w:r>
              <w:t>Выявить альтернативу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ADE80F" w14:textId="77777777" w:rsidR="0026001F" w:rsidRDefault="00000000">
            <w:pPr>
              <w:pStyle w:val="TableBody"/>
            </w:pPr>
            <w:r>
              <w:t>Какие еще варианты рассматривали?</w:t>
            </w:r>
          </w:p>
        </w:tc>
      </w:tr>
    </w:tbl>
    <w:p w14:paraId="0203723C" w14:textId="77777777" w:rsidR="0026001F" w:rsidRDefault="0026001F">
      <w:pPr>
        <w:spacing w:after="0" w:line="60" w:lineRule="exact"/>
      </w:pPr>
    </w:p>
    <w:p w14:paraId="414A1227" w14:textId="77777777" w:rsidR="003A1F8A" w:rsidRDefault="003A1F8A"/>
    <w:p w14:paraId="594208B0" w14:textId="28041FF0" w:rsidR="0026001F" w:rsidRDefault="00000000">
      <w:r>
        <w:t>Документы анализируются по столь же явным правилам: период, тип, автор, цель, версия и полный ли это текст. Официальная инструкция показывает предусмотренный процесс, но не доказывает, что все ему следуют. Жалоба отражает описанный опыт конкретного автора, а не автоматически всю систему.</w:t>
      </w:r>
    </w:p>
    <w:p w14:paraId="55543E2D" w14:textId="77777777" w:rsidR="0026001F" w:rsidRDefault="00000000">
      <w:r>
        <w:t>Методические ориентиры качества качественной оценки приведены в руководстве QQE [2]. В учебном проекте достаточно прозрачного отбора и аккуратного вывода, без притязания на представительность нескольких доступных бесед. Добровольность, обезличивание и минимизация личных сведений остаются условиями работы.</w:t>
      </w:r>
    </w:p>
    <w:p w14:paraId="1BE226F5" w14:textId="77777777" w:rsidR="0026001F" w:rsidRDefault="00000000">
      <w:r>
        <w:br w:type="page"/>
      </w:r>
    </w:p>
    <w:p w14:paraId="4DFD39FA" w14:textId="77777777" w:rsidR="0026001F" w:rsidRDefault="00000000">
      <w:pPr>
        <w:pStyle w:val="1"/>
      </w:pPr>
      <w:r>
        <w:lastRenderedPageBreak/>
        <w:t>2. От фрагмента к коду и теме</w:t>
      </w:r>
    </w:p>
    <w:p w14:paraId="06A615C6" w14:textId="77777777" w:rsidR="0026001F" w:rsidRDefault="00000000">
      <w:r>
        <w:t>Код — краткая метка содержательного признака фрагмента. Тема связывает несколько кодов вокруг аналитической идеи. Она не обязана совпадать с вопросом интервью. Например, вопрос о времени ответа может раскрыть тему «неопределенный статус», включающую и ожидание, и содержание подтверждения.</w:t>
      </w:r>
    </w:p>
    <w:p w14:paraId="2C9DFA43" w14:textId="77777777" w:rsidR="0026001F" w:rsidRDefault="00000000">
      <w:r>
        <w:t>Кодировочник содержит название, определение, правило включения, исключение и пример. Без этих полей два человека могут одинаковым словом обозначать разные ситуации. Особенно осторожно следует обращаться с оценочными метками «недоверие», «лень» или «цифровая неграмотность»: они легко превращаются в необоснованный диагноз.</w:t>
      </w:r>
    </w:p>
    <w:p w14:paraId="19201A1B" w14:textId="77777777" w:rsidR="003A1F8A" w:rsidRDefault="003A1F8A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628"/>
        <w:gridCol w:w="3628"/>
      </w:tblGrid>
      <w:tr w:rsidR="0026001F" w14:paraId="00F77F5A" w14:textId="77777777">
        <w:trPr>
          <w:cantSplit/>
          <w:tblHeader/>
          <w:jc w:val="center"/>
        </w:trPr>
        <w:tc>
          <w:tcPr>
            <w:tcW w:w="238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96B20F" w14:textId="77777777" w:rsidR="0026001F" w:rsidRDefault="00000000">
            <w:pPr>
              <w:pStyle w:val="TableBody"/>
            </w:pPr>
            <w:r>
              <w:rPr>
                <w:b/>
                <w:color w:val="FFFFFF"/>
              </w:rPr>
              <w:t>Код</w:t>
            </w:r>
          </w:p>
        </w:tc>
        <w:tc>
          <w:tcPr>
            <w:tcW w:w="3628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39BB80" w14:textId="77777777" w:rsidR="0026001F" w:rsidRDefault="00000000">
            <w:pPr>
              <w:pStyle w:val="TableBody"/>
            </w:pPr>
            <w:r>
              <w:rPr>
                <w:b/>
                <w:color w:val="FFFFFF"/>
              </w:rPr>
              <w:t>Включать</w:t>
            </w:r>
          </w:p>
        </w:tc>
        <w:tc>
          <w:tcPr>
            <w:tcW w:w="3628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DACD01" w14:textId="77777777" w:rsidR="0026001F" w:rsidRDefault="00000000">
            <w:pPr>
              <w:pStyle w:val="TableBody"/>
            </w:pPr>
            <w:r>
              <w:rPr>
                <w:b/>
                <w:color w:val="FFFFFF"/>
              </w:rPr>
              <w:t>Не включать автоматически</w:t>
            </w:r>
          </w:p>
        </w:tc>
      </w:tr>
      <w:tr w:rsidR="0026001F" w14:paraId="3DE0668F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DD46F5" w14:textId="77777777" w:rsidR="0026001F" w:rsidRDefault="00000000">
            <w:pPr>
              <w:pStyle w:val="TableBody"/>
            </w:pPr>
            <w:r>
              <w:t>Неясный статус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F805BE" w14:textId="77777777" w:rsidR="0026001F" w:rsidRDefault="00000000">
            <w:pPr>
              <w:pStyle w:val="TableBody"/>
            </w:pPr>
            <w:r>
              <w:t>Участник прямо не различает этапы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00F5BF" w14:textId="77777777" w:rsidR="0026001F" w:rsidRDefault="00000000">
            <w:pPr>
              <w:pStyle w:val="TableBody"/>
            </w:pPr>
            <w:r>
              <w:t>Любое негативное впечатление</w:t>
            </w:r>
          </w:p>
        </w:tc>
      </w:tr>
      <w:tr w:rsidR="0026001F" w14:paraId="46F562BE" w14:textId="77777777">
        <w:trPr>
          <w:cantSplit/>
          <w:jc w:val="center"/>
        </w:trPr>
        <w:tc>
          <w:tcPr>
            <w:tcW w:w="238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CB46B0" w14:textId="77777777" w:rsidR="0026001F" w:rsidRDefault="00000000">
            <w:pPr>
              <w:pStyle w:val="TableBody"/>
            </w:pPr>
            <w:r>
              <w:t>Ограничение времени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63C213" w14:textId="77777777" w:rsidR="0026001F" w:rsidRDefault="00000000">
            <w:pPr>
              <w:pStyle w:val="TableBody"/>
            </w:pPr>
            <w:r>
              <w:t>Назван конфликт с делами или расписанием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194192" w14:textId="77777777" w:rsidR="0026001F" w:rsidRDefault="00000000">
            <w:pPr>
              <w:pStyle w:val="TableBody"/>
            </w:pPr>
            <w:r>
              <w:t>Отсутствие ответа без объяснения</w:t>
            </w:r>
          </w:p>
        </w:tc>
      </w:tr>
      <w:tr w:rsidR="0026001F" w14:paraId="0AB690E6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D9F1A8" w14:textId="77777777" w:rsidR="0026001F" w:rsidRDefault="00000000">
            <w:pPr>
              <w:pStyle w:val="TableBody"/>
            </w:pPr>
            <w:r>
              <w:t>Трудность действия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18A3AF" w14:textId="77777777" w:rsidR="0026001F" w:rsidRDefault="00000000">
            <w:pPr>
              <w:pStyle w:val="TableBody"/>
            </w:pPr>
            <w:r>
              <w:t>Описан конкретный невыполнимый шаг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4C2865" w14:textId="77777777" w:rsidR="0026001F" w:rsidRDefault="00000000">
            <w:pPr>
              <w:pStyle w:val="TableBody"/>
            </w:pPr>
            <w:r>
              <w:t>Предположение аналитика</w:t>
            </w:r>
          </w:p>
        </w:tc>
      </w:tr>
      <w:tr w:rsidR="0026001F" w14:paraId="2954099D" w14:textId="77777777">
        <w:trPr>
          <w:cantSplit/>
          <w:jc w:val="center"/>
        </w:trPr>
        <w:tc>
          <w:tcPr>
            <w:tcW w:w="238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E171BE" w14:textId="77777777" w:rsidR="0026001F" w:rsidRDefault="00000000">
            <w:pPr>
              <w:pStyle w:val="TableBody"/>
            </w:pPr>
            <w:r>
              <w:t>Положительный опыт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D5439E" w14:textId="77777777" w:rsidR="0026001F" w:rsidRDefault="00000000">
            <w:pPr>
              <w:pStyle w:val="TableBody"/>
            </w:pPr>
            <w:r>
              <w:t>Названо полезное свойство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8FC3B6" w14:textId="77777777" w:rsidR="0026001F" w:rsidRDefault="00000000">
            <w:pPr>
              <w:pStyle w:val="TableBody"/>
            </w:pPr>
            <w:r>
              <w:t>Общее вежливое согласие</w:t>
            </w:r>
          </w:p>
        </w:tc>
      </w:tr>
    </w:tbl>
    <w:p w14:paraId="1801A67A" w14:textId="77777777" w:rsidR="0026001F" w:rsidRDefault="0026001F">
      <w:pPr>
        <w:spacing w:after="0" w:line="60" w:lineRule="exact"/>
      </w:pPr>
    </w:p>
    <w:p w14:paraId="42887130" w14:textId="77777777" w:rsidR="003A1F8A" w:rsidRDefault="003A1F8A">
      <w:pPr>
        <w:pStyle w:val="21"/>
      </w:pPr>
    </w:p>
    <w:p w14:paraId="125C5304" w14:textId="7F9642AA" w:rsidR="0026001F" w:rsidRDefault="00000000">
      <w:pPr>
        <w:pStyle w:val="21"/>
      </w:pPr>
      <w:r>
        <w:t>Дедуктивная и индуктивная логика</w:t>
      </w:r>
    </w:p>
    <w:p w14:paraId="7AE978DF" w14:textId="77777777" w:rsidR="0026001F" w:rsidRDefault="00000000">
      <w:r>
        <w:t>Часть кодов можно задать заранее по вопросу. Другие возникают при чтении материала. Эти подходы сочетаются, если изменения схемы фиксируются. Нельзя незаметно менять определение кода только для фрагмента, который не укладывается в желаемый итог.</w:t>
      </w:r>
    </w:p>
    <w:p w14:paraId="69CEFA98" w14:textId="77777777" w:rsidR="0026001F" w:rsidRDefault="00000000">
      <w:r>
        <w:t>Один фрагмент может получить несколько кодов. Их частоты тогда не образуют непересекающиеся доли и не обязаны суммироваться до 100%. Единица подсчета также важна: число упоминаний и число участников — разные величины.</w:t>
      </w:r>
    </w:p>
    <w:p w14:paraId="44709586" w14:textId="77777777" w:rsidR="0026001F" w:rsidRDefault="00000000">
      <w:r>
        <w:t>Для проверки два автора независимо кодируют небольшой общий набор и обсуждают разногласия. Полное совпадение не доказывает истинность темы, а разногласие не всегда является ошибкой: оно может выявить неоднозначное определение. Итог — уточненная схема и объяснение аналитических решений.</w:t>
      </w:r>
    </w:p>
    <w:p w14:paraId="2E251CA2" w14:textId="77777777" w:rsidR="0026001F" w:rsidRDefault="00000000">
      <w:r>
        <w:br w:type="page"/>
      </w:r>
    </w:p>
    <w:p w14:paraId="60C83C5B" w14:textId="77777777" w:rsidR="0026001F" w:rsidRDefault="00000000">
      <w:pPr>
        <w:pStyle w:val="1"/>
      </w:pPr>
      <w:r>
        <w:lastRenderedPageBreak/>
        <w:t>3. Реальный кейс: качественное исследование DWP</w:t>
      </w:r>
    </w:p>
    <w:p w14:paraId="7CC0502A" w14:textId="77777777" w:rsidR="0026001F" w:rsidRDefault="00000000">
      <w:r>
        <w:t>DWP в декабре 2024 года опубликовало качественное исследование опыта пар, переходивших с tax credits на Universal Credit [1]. В исполнительном резюме описаны различия жизненных обстоятельств, влияние информации из окружения и сложности понимания процесса. Для некоторых самозанятых участников значимым был ежемесячный учет дохода. Материал передает восприятие и опыт участников; это не измерение доли всех получателей с каждой проблемой.</w:t>
      </w:r>
    </w:p>
    <w:p w14:paraId="78D044AE" w14:textId="77777777" w:rsidR="0026001F" w:rsidRDefault="00000000">
      <w:pPr>
        <w:pStyle w:val="21"/>
      </w:pPr>
      <w:r>
        <w:t>Как читать тематическое резюме</w:t>
      </w:r>
    </w:p>
    <w:p w14:paraId="68E7B6ED" w14:textId="77777777" w:rsidR="0026001F" w:rsidRDefault="00000000">
      <w:r>
        <w:t>Следует различать описанную процедуру, рассказ участника и интерпретацию исследователей. Если человек ожидал определенных условий, его ожидание не становится подтвержденным правилом системы. Для проверки формальных условий понадобился бы другой источник и актуальная версия регулирования.</w:t>
      </w:r>
    </w:p>
    <w:p w14:paraId="32F6A8CF" w14:textId="77777777" w:rsidR="003A1F8A" w:rsidRDefault="003A1F8A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26001F" w14:paraId="638E6DF3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619BB5" w14:textId="77777777" w:rsidR="0026001F" w:rsidRDefault="00000000">
            <w:pPr>
              <w:pStyle w:val="TableBody"/>
            </w:pPr>
            <w:r>
              <w:rPr>
                <w:b/>
                <w:color w:val="FFFFFF"/>
              </w:rPr>
              <w:t>Вопрос читателя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9F4106" w14:textId="77777777" w:rsidR="0026001F" w:rsidRDefault="00000000">
            <w:pPr>
              <w:pStyle w:val="TableBody"/>
            </w:pPr>
            <w:r>
              <w:rPr>
                <w:b/>
                <w:color w:val="FFFFFF"/>
              </w:rPr>
              <w:t>Что искать в полном исследовании</w:t>
            </w:r>
          </w:p>
        </w:tc>
      </w:tr>
      <w:tr w:rsidR="0026001F" w14:paraId="511EC286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1CFD42" w14:textId="77777777" w:rsidR="0026001F" w:rsidRDefault="00000000">
            <w:pPr>
              <w:pStyle w:val="TableBody"/>
            </w:pPr>
            <w:r>
              <w:t>Кто представлен?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2CC216" w14:textId="77777777" w:rsidR="0026001F" w:rsidRDefault="00000000">
            <w:pPr>
              <w:pStyle w:val="TableBody"/>
            </w:pPr>
            <w:r>
              <w:t>Правила отбора и значимые различия участников</w:t>
            </w:r>
          </w:p>
        </w:tc>
      </w:tr>
      <w:tr w:rsidR="0026001F" w14:paraId="64C5A46C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196453" w14:textId="77777777" w:rsidR="0026001F" w:rsidRDefault="00000000">
            <w:pPr>
              <w:pStyle w:val="TableBody"/>
            </w:pPr>
            <w:r>
              <w:t>На чем основана тема?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2A8F3A" w14:textId="77777777" w:rsidR="0026001F" w:rsidRDefault="00000000">
            <w:pPr>
              <w:pStyle w:val="TableBody"/>
            </w:pPr>
            <w:r>
              <w:t>Несколько фрагментов и аналитическое пояснение</w:t>
            </w:r>
          </w:p>
        </w:tc>
      </w:tr>
      <w:tr w:rsidR="0026001F" w14:paraId="58F12B43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41A2EC" w14:textId="77777777" w:rsidR="0026001F" w:rsidRDefault="00000000">
            <w:pPr>
              <w:pStyle w:val="TableBody"/>
            </w:pPr>
            <w:r>
              <w:t>Есть ли иной опыт?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13E97D" w14:textId="77777777" w:rsidR="0026001F" w:rsidRDefault="00000000">
            <w:pPr>
              <w:pStyle w:val="TableBody"/>
            </w:pPr>
            <w:r>
              <w:t>Положительные и противоречащие случаи</w:t>
            </w:r>
          </w:p>
        </w:tc>
      </w:tr>
      <w:tr w:rsidR="0026001F" w14:paraId="7786B64B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1594CA" w14:textId="77777777" w:rsidR="0026001F" w:rsidRDefault="00000000">
            <w:pPr>
              <w:pStyle w:val="TableBody"/>
            </w:pPr>
            <w:r>
              <w:t>Насколько широк вывод?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F9CEFE" w14:textId="77777777" w:rsidR="0026001F" w:rsidRDefault="00000000">
            <w:pPr>
              <w:pStyle w:val="TableBody"/>
            </w:pPr>
            <w:r>
              <w:t>Ограничения охвата и метода</w:t>
            </w:r>
          </w:p>
        </w:tc>
      </w:tr>
    </w:tbl>
    <w:p w14:paraId="060C5B27" w14:textId="77777777" w:rsidR="0026001F" w:rsidRDefault="0026001F">
      <w:pPr>
        <w:spacing w:after="0" w:line="60" w:lineRule="exact"/>
      </w:pPr>
    </w:p>
    <w:p w14:paraId="737C7449" w14:textId="77777777" w:rsidR="003A1F8A" w:rsidRDefault="003A1F8A"/>
    <w:p w14:paraId="23119D0B" w14:textId="3BB6EBAF" w:rsidR="0026001F" w:rsidRDefault="00000000">
      <w:r>
        <w:t>У краткого резюме есть предел: оно не заменяет полного описания выборки и процедуры. В аналитическом обзоре это нужно указать, а не достраивать неуказанное число интервью по косвенным признакам. Ссылка на весь комплект материалов приведена отдельно [3].</w:t>
      </w:r>
    </w:p>
    <w:p w14:paraId="75C27979" w14:textId="77777777" w:rsidR="0026001F" w:rsidRDefault="00000000">
      <w:pPr>
        <w:pStyle w:val="21"/>
      </w:pPr>
      <w:r>
        <w:t>Перенос в учебный проект</w:t>
      </w:r>
    </w:p>
    <w:p w14:paraId="40BB05ED" w14:textId="77777777" w:rsidR="0026001F" w:rsidRDefault="00000000">
      <w:r>
        <w:t>Участники центра могут одинаково говорить «мне было неудобно», имея в виду время, устройство, оплату или формат общения. Полезная тема должна объяснять механизм, а не просто повторять слово «неудобство». Для каждой интерпретации ищут конкретный эпизод.</w:t>
      </w:r>
    </w:p>
    <w:p w14:paraId="61DF2F62" w14:textId="77777777" w:rsidR="0026001F" w:rsidRDefault="00000000">
      <w:r>
        <w:t>Нельзя превращать тематические выводы чужого исследования в проценты для «Линии знаний». Переносимым является способ анализа: сравнить обстоятельства, сохранить неоднородность опыта и связать предполагаемую меру с конкретным барьером.</w:t>
      </w:r>
    </w:p>
    <w:p w14:paraId="4A29BE15" w14:textId="77777777" w:rsidR="0026001F" w:rsidRDefault="00000000">
      <w:r>
        <w:br w:type="page"/>
      </w:r>
    </w:p>
    <w:p w14:paraId="3E6E12A8" w14:textId="77777777" w:rsidR="0026001F" w:rsidRDefault="00000000">
      <w:pPr>
        <w:pStyle w:val="1"/>
      </w:pPr>
      <w:r>
        <w:lastRenderedPageBreak/>
        <w:t>4. Учебный разбор четырех высказываний</w:t>
      </w:r>
    </w:p>
    <w:p w14:paraId="1FCE8782" w14:textId="77777777" w:rsidR="0026001F" w:rsidRDefault="00000000">
      <w:r>
        <w:t>Все приведенные фразы сочинены для обучения; это не реальные интервью. Представим четыре коротких сообщения после подтверждения участия.</w:t>
      </w:r>
    </w:p>
    <w:p w14:paraId="16F8FB72" w14:textId="77777777" w:rsidR="003A1F8A" w:rsidRDefault="003A1F8A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26001F" w14:paraId="15EE1E9D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313CD9" w14:textId="77777777" w:rsidR="0026001F" w:rsidRDefault="00000000">
            <w:pPr>
              <w:pStyle w:val="TableBody"/>
            </w:pPr>
            <w:r>
              <w:rPr>
                <w:b/>
                <w:color w:val="FFFFFF"/>
              </w:rPr>
              <w:t>Код фрагмента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F83AA1" w14:textId="77777777" w:rsidR="0026001F" w:rsidRDefault="00000000">
            <w:pPr>
              <w:pStyle w:val="TableBody"/>
            </w:pPr>
            <w:r>
              <w:rPr>
                <w:b/>
                <w:color w:val="FFFFFF"/>
              </w:rPr>
              <w:t>Учебное высказывание</w:t>
            </w:r>
          </w:p>
        </w:tc>
      </w:tr>
      <w:tr w:rsidR="0026001F" w14:paraId="7B6D8ACA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1924A1" w14:textId="77777777" w:rsidR="0026001F" w:rsidRDefault="00000000">
            <w:pPr>
              <w:pStyle w:val="TableBody"/>
            </w:pPr>
            <w:r>
              <w:t>F1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9F2C26" w14:textId="77777777" w:rsidR="0026001F" w:rsidRDefault="00000000">
            <w:pPr>
              <w:pStyle w:val="TableBody"/>
            </w:pPr>
            <w:r>
              <w:t>«Я решил, что письмо только подтверждает получение запроса, и ждал другого ответа»</w:t>
            </w:r>
          </w:p>
        </w:tc>
      </w:tr>
      <w:tr w:rsidR="0026001F" w14:paraId="64CDF256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72512F" w14:textId="77777777" w:rsidR="0026001F" w:rsidRDefault="00000000">
            <w:pPr>
              <w:pStyle w:val="TableBody"/>
            </w:pPr>
            <w:r>
              <w:t>F2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A13DD6" w14:textId="77777777" w:rsidR="0026001F" w:rsidRDefault="00000000">
            <w:pPr>
              <w:pStyle w:val="TableBody"/>
            </w:pPr>
            <w:r>
              <w:t>«Все было понятно, но в тот день меня срочно вызвали на работу»</w:t>
            </w:r>
          </w:p>
        </w:tc>
      </w:tr>
      <w:tr w:rsidR="0026001F" w14:paraId="5DDBDDD8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D6C4E7" w14:textId="77777777" w:rsidR="0026001F" w:rsidRDefault="00000000">
            <w:pPr>
              <w:pStyle w:val="TableBody"/>
            </w:pPr>
            <w:r>
              <w:t>F3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4CAED5" w14:textId="77777777" w:rsidR="0026001F" w:rsidRDefault="00000000">
            <w:pPr>
              <w:pStyle w:val="TableBody"/>
            </w:pPr>
            <w:r>
              <w:t>«Я хотел поменять дату, но не нашел, как это сделать без новой заявки»</w:t>
            </w:r>
          </w:p>
        </w:tc>
      </w:tr>
      <w:tr w:rsidR="0026001F" w14:paraId="2A0A1436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DA97B6" w14:textId="77777777" w:rsidR="0026001F" w:rsidRDefault="00000000">
            <w:pPr>
              <w:pStyle w:val="TableBody"/>
            </w:pPr>
            <w:r>
              <w:t>F4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FAFEB5" w14:textId="77777777" w:rsidR="0026001F" w:rsidRDefault="00000000">
            <w:pPr>
              <w:pStyle w:val="TableBody"/>
            </w:pPr>
            <w:r>
              <w:t>«Напоминание помогло, однако в нем не было адреса аудитории»</w:t>
            </w:r>
          </w:p>
        </w:tc>
      </w:tr>
    </w:tbl>
    <w:p w14:paraId="5FB626C5" w14:textId="77777777" w:rsidR="0026001F" w:rsidRDefault="0026001F">
      <w:pPr>
        <w:spacing w:after="0" w:line="60" w:lineRule="exact"/>
      </w:pPr>
    </w:p>
    <w:p w14:paraId="0131CF5B" w14:textId="77777777" w:rsidR="003A1F8A" w:rsidRDefault="003A1F8A"/>
    <w:p w14:paraId="69FA3485" w14:textId="68D2FC9C" w:rsidR="0026001F" w:rsidRDefault="00000000">
      <w:r>
        <w:t>F1 поддерживает код неясного статуса. F2 показывает внешнее ограничение и противоречит версии, что каждая неявка вызвана интерфейсом. F3 касается возможности исправить выбор. F4 сочетает полезность и недостающую информацию: его нельзя сократить до однозначного одобрения напоминания.</w:t>
      </w:r>
    </w:p>
    <w:p w14:paraId="3EBDD42B" w14:textId="77777777" w:rsidR="0026001F" w:rsidRDefault="00000000">
      <w:pPr>
        <w:pStyle w:val="21"/>
      </w:pPr>
      <w:r>
        <w:t>От кодов к теме</w:t>
      </w:r>
    </w:p>
    <w:p w14:paraId="13814725" w14:textId="77777777" w:rsidR="0026001F" w:rsidRDefault="00000000">
      <w:r>
        <w:t>Возможная тема — «Поддержка участия требует не только напоминания, но и понятного статуса и изменения записи». Она основана на нескольких различных фрагментах. Однако F2 ограничивает ее: часть причин находится вне сообщения. Поэтому рекомендация не обещает устранить все неявки.</w:t>
      </w:r>
    </w:p>
    <w:p w14:paraId="619321E4" w14:textId="77777777" w:rsidR="0026001F" w:rsidRDefault="00000000">
      <w:pPr>
        <w:pStyle w:val="21"/>
      </w:pPr>
      <w:r>
        <w:t>Образец аналитического абзаца</w:t>
      </w:r>
    </w:p>
    <w:p w14:paraId="648824A8" w14:textId="77777777" w:rsidR="0026001F" w:rsidRDefault="00000000">
      <w:r>
        <w:t>«В учебных фрагментах обнаружены три разных затруднения: ожидание окончательного подтверждения, изменение даты и поиск места занятия. Один фрагмент описывает внешнюю рабочую причину при ясных условиях. Это обосновывает проверку полноты сообщения и пути изменения записи, но не позволяет оценить распространенность барьеров или гарантировать снижение всех неявок».</w:t>
      </w:r>
    </w:p>
    <w:p w14:paraId="55F33266" w14:textId="77777777" w:rsidR="0026001F" w:rsidRDefault="00000000">
      <w:r>
        <w:t>Такой текст сохраняет различия и противоположный случай. Четыре высказывания не превращаются в проценты рынка. При добавлении новых материалов тема может измениться; ранняя схема остается рабочей гипотезой, а не окончательной типологией людей.</w:t>
      </w:r>
    </w:p>
    <w:p w14:paraId="6DE14613" w14:textId="77777777" w:rsidR="0026001F" w:rsidRDefault="00000000">
      <w:r>
        <w:br w:type="page"/>
      </w:r>
    </w:p>
    <w:p w14:paraId="764A2AA1" w14:textId="77777777" w:rsidR="0026001F" w:rsidRDefault="00000000">
      <w:pPr>
        <w:pStyle w:val="1"/>
      </w:pPr>
      <w:r>
        <w:lastRenderedPageBreak/>
        <w:t>5. Качественный вывод и связь с рекомендацией</w:t>
      </w:r>
    </w:p>
    <w:p w14:paraId="165259B4" w14:textId="77777777" w:rsidR="0026001F" w:rsidRDefault="00000000">
      <w:r>
        <w:t>Сильный качественный вывод содержит тему, объяснение механизма, свидетельства, вариации и ограничение. Цитата помогает показать основание, но не выполняет за автора аналитическую работу. Набор пяти цитат без объяснения связи остается подборкой материала.</w:t>
      </w:r>
    </w:p>
    <w:p w14:paraId="70480190" w14:textId="77777777" w:rsidR="0026001F" w:rsidRDefault="00000000">
      <w:pPr>
        <w:pStyle w:val="21"/>
      </w:pPr>
      <w:r>
        <w:t>Матрица сравнения</w:t>
      </w:r>
    </w:p>
    <w:p w14:paraId="1570F3D7" w14:textId="77777777" w:rsidR="0026001F" w:rsidRDefault="00000000">
      <w:r>
        <w:t>Расположите темы по строкам, а случаи или документы — по столбцам. Отмечайте наличие, отсутствие и неизвестность. Пустая ячейка не всегда означает, что явления нет: вопрос мог не обсуждаться. Это различие необходимо сохранять при сравнении.</w:t>
      </w:r>
    </w:p>
    <w:p w14:paraId="04A9EFD5" w14:textId="77777777" w:rsidR="003A1F8A" w:rsidRDefault="003A1F8A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628"/>
        <w:gridCol w:w="3628"/>
      </w:tblGrid>
      <w:tr w:rsidR="0026001F" w14:paraId="39484C4F" w14:textId="77777777">
        <w:trPr>
          <w:cantSplit/>
          <w:tblHeader/>
          <w:jc w:val="center"/>
        </w:trPr>
        <w:tc>
          <w:tcPr>
            <w:tcW w:w="238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4742C4" w14:textId="77777777" w:rsidR="0026001F" w:rsidRDefault="00000000">
            <w:pPr>
              <w:pStyle w:val="TableBody"/>
            </w:pPr>
            <w:r>
              <w:rPr>
                <w:b/>
                <w:color w:val="FFFFFF"/>
              </w:rPr>
              <w:t>Тема</w:t>
            </w:r>
          </w:p>
        </w:tc>
        <w:tc>
          <w:tcPr>
            <w:tcW w:w="3628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D933DE" w14:textId="77777777" w:rsidR="0026001F" w:rsidRDefault="00000000">
            <w:pPr>
              <w:pStyle w:val="TableBody"/>
            </w:pPr>
            <w:r>
              <w:rPr>
                <w:b/>
                <w:color w:val="FFFFFF"/>
              </w:rPr>
              <w:t>Поддерживает изменение</w:t>
            </w:r>
          </w:p>
        </w:tc>
        <w:tc>
          <w:tcPr>
            <w:tcW w:w="3628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A79D40" w14:textId="77777777" w:rsidR="0026001F" w:rsidRDefault="00000000">
            <w:pPr>
              <w:pStyle w:val="TableBody"/>
            </w:pPr>
            <w:r>
              <w:rPr>
                <w:b/>
                <w:color w:val="FFFFFF"/>
              </w:rPr>
              <w:t>Требует иной меры</w:t>
            </w:r>
          </w:p>
        </w:tc>
      </w:tr>
      <w:tr w:rsidR="0026001F" w14:paraId="1A327F4B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A4450C" w14:textId="77777777" w:rsidR="0026001F" w:rsidRDefault="00000000">
            <w:pPr>
              <w:pStyle w:val="TableBody"/>
            </w:pPr>
            <w:r>
              <w:t>Непонятный статус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F9B434" w14:textId="77777777" w:rsidR="0026001F" w:rsidRDefault="00000000">
            <w:pPr>
              <w:pStyle w:val="TableBody"/>
            </w:pPr>
            <w:r>
              <w:t>Переработка текста и порядка подтверждения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82F65F" w14:textId="77777777" w:rsidR="0026001F" w:rsidRDefault="00000000">
            <w:pPr>
              <w:pStyle w:val="TableBody"/>
            </w:pPr>
            <w:r>
              <w:t>Проверка реального процесса согласования</w:t>
            </w:r>
          </w:p>
        </w:tc>
      </w:tr>
      <w:tr w:rsidR="0026001F" w14:paraId="439CA640" w14:textId="77777777">
        <w:trPr>
          <w:cantSplit/>
          <w:jc w:val="center"/>
        </w:trPr>
        <w:tc>
          <w:tcPr>
            <w:tcW w:w="238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4A1F90" w14:textId="77777777" w:rsidR="0026001F" w:rsidRDefault="00000000">
            <w:pPr>
              <w:pStyle w:val="TableBody"/>
            </w:pPr>
            <w:r>
              <w:t>Изменение даты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A99D73" w14:textId="77777777" w:rsidR="0026001F" w:rsidRDefault="00000000">
            <w:pPr>
              <w:pStyle w:val="TableBody"/>
            </w:pPr>
            <w:r>
              <w:t>Доступный путь переноса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09F8DB" w14:textId="77777777" w:rsidR="0026001F" w:rsidRDefault="00000000">
            <w:pPr>
              <w:pStyle w:val="TableBody"/>
            </w:pPr>
            <w:r>
              <w:t>Наличие свободных сеансов</w:t>
            </w:r>
          </w:p>
        </w:tc>
      </w:tr>
      <w:tr w:rsidR="0026001F" w14:paraId="03469C70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A2C408" w14:textId="77777777" w:rsidR="0026001F" w:rsidRDefault="00000000">
            <w:pPr>
              <w:pStyle w:val="TableBody"/>
            </w:pPr>
            <w:r>
              <w:t>Внешний конфликт времени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475E7E" w14:textId="77777777" w:rsidR="0026001F" w:rsidRDefault="00000000">
            <w:pPr>
              <w:pStyle w:val="TableBody"/>
            </w:pPr>
            <w:r>
              <w:t>Напоминание может быть недостаточно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00DDB7" w14:textId="77777777" w:rsidR="0026001F" w:rsidRDefault="00000000">
            <w:pPr>
              <w:pStyle w:val="TableBody"/>
            </w:pPr>
            <w:r>
              <w:t>Гибкость расписания или условий</w:t>
            </w:r>
          </w:p>
        </w:tc>
      </w:tr>
    </w:tbl>
    <w:p w14:paraId="46EC17FB" w14:textId="77777777" w:rsidR="0026001F" w:rsidRDefault="0026001F">
      <w:pPr>
        <w:spacing w:after="0" w:line="60" w:lineRule="exact"/>
      </w:pPr>
    </w:p>
    <w:p w14:paraId="0A96E626" w14:textId="77777777" w:rsidR="003A1F8A" w:rsidRDefault="003A1F8A"/>
    <w:p w14:paraId="6A60C0DD" w14:textId="066277B4" w:rsidR="0026001F" w:rsidRDefault="00000000">
      <w:r>
        <w:t>Рекомендация должна соответствовать механизму. Если проблема — отсутствие мест, новая формулировка не создаст вместимость. Если статус понятен, но человек не может отменить участие, полезнее улучшить действие. Качественная аналитика позволяет отличать эти ситуации до дорогостоящего внедрения.</w:t>
      </w:r>
    </w:p>
    <w:p w14:paraId="1CD3D679" w14:textId="77777777" w:rsidR="0026001F" w:rsidRDefault="00000000">
      <w:pPr>
        <w:pStyle w:val="21"/>
      </w:pPr>
      <w:r>
        <w:t>Прозрачность и ограничения</w:t>
      </w:r>
    </w:p>
    <w:p w14:paraId="05D7A0EC" w14:textId="77777777" w:rsidR="0026001F" w:rsidRDefault="00000000">
      <w:r>
        <w:t>В отчете указывают способ отбора, число анализируемых материалов, процедуру кодирования и роль автора. Собственные ожидания могут влиять на выбор фрагментов; полезно вести заметки о спорных случаях. Не следует заявлять насыщение тем без объяснения, как оно оценивалось.</w:t>
      </w:r>
    </w:p>
    <w:p w14:paraId="3C4543B8" w14:textId="77777777" w:rsidR="0026001F" w:rsidRDefault="00000000">
      <w:r>
        <w:t>Сокращая текст, не исключайте все противоречащие свидетельства. Достаточно одного показательного ограничения, если оно существенно для решения. При этом исключение не опровергает автоматически тему: оно задает границы ее применения. Аналитический материал должен помогать действовать в конкретных условиях, а не изображать единственную причину для всех людей.</w:t>
      </w:r>
    </w:p>
    <w:sectPr w:rsidR="0026001F" w:rsidSect="00034616">
      <w:footerReference w:type="default" r:id="rId8"/>
      <w:pgSz w:w="11906" w:h="16838"/>
      <w:pgMar w:top="992" w:right="1134" w:bottom="964" w:left="113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417A0" w14:textId="77777777" w:rsidR="00087D1D" w:rsidRDefault="00087D1D">
      <w:pPr>
        <w:spacing w:after="0" w:line="240" w:lineRule="auto"/>
      </w:pPr>
      <w:r>
        <w:separator/>
      </w:r>
    </w:p>
  </w:endnote>
  <w:endnote w:type="continuationSeparator" w:id="0">
    <w:p w14:paraId="2E4FB6DC" w14:textId="77777777" w:rsidR="00087D1D" w:rsidRDefault="00087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9EF78" w14:textId="205BA106" w:rsidR="0026001F" w:rsidRDefault="0026001F">
    <w:pPr>
      <w:pStyle w:val="Small"/>
      <w:tabs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2F7EC" w14:textId="77777777" w:rsidR="00087D1D" w:rsidRDefault="00087D1D">
      <w:pPr>
        <w:spacing w:after="0" w:line="240" w:lineRule="auto"/>
      </w:pPr>
      <w:r>
        <w:separator/>
      </w:r>
    </w:p>
  </w:footnote>
  <w:footnote w:type="continuationSeparator" w:id="0">
    <w:p w14:paraId="4F7E9027" w14:textId="77777777" w:rsidR="00087D1D" w:rsidRDefault="00087D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2935594">
    <w:abstractNumId w:val="8"/>
  </w:num>
  <w:num w:numId="2" w16cid:durableId="43722183">
    <w:abstractNumId w:val="6"/>
  </w:num>
  <w:num w:numId="3" w16cid:durableId="1360863015">
    <w:abstractNumId w:val="5"/>
  </w:num>
  <w:num w:numId="4" w16cid:durableId="1388263274">
    <w:abstractNumId w:val="4"/>
  </w:num>
  <w:num w:numId="5" w16cid:durableId="370882589">
    <w:abstractNumId w:val="7"/>
  </w:num>
  <w:num w:numId="6" w16cid:durableId="1574313043">
    <w:abstractNumId w:val="3"/>
  </w:num>
  <w:num w:numId="7" w16cid:durableId="359168026">
    <w:abstractNumId w:val="2"/>
  </w:num>
  <w:num w:numId="8" w16cid:durableId="103699065">
    <w:abstractNumId w:val="1"/>
  </w:num>
  <w:num w:numId="9" w16cid:durableId="1418867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7D1D"/>
    <w:rsid w:val="0015074B"/>
    <w:rsid w:val="0026001F"/>
    <w:rsid w:val="0029639D"/>
    <w:rsid w:val="00326F90"/>
    <w:rsid w:val="003A1F8A"/>
    <w:rsid w:val="00AA1D8D"/>
    <w:rsid w:val="00B47730"/>
    <w:rsid w:val="00BB131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FDC86"/>
  <w14:defaultImageDpi w14:val="300"/>
  <w15:docId w15:val="{7B7AADF0-4C09-4865-8407-E05B32D3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eastAsia="Times New Roman" w:hAnsi="Times New Roman" w:cs="Times New Roman"/>
      <w:color w:val="202B32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73B5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4717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173B5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73B50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80" w:line="259" w:lineRule="auto"/>
    </w:pPr>
    <w:rPr>
      <w:rFonts w:ascii="Arial" w:eastAsia="Arial" w:hAnsi="Arial" w:cs="Arial"/>
      <w:color w:val="334D5B"/>
      <w:sz w:val="18"/>
      <w:lang w:val="ru-RU"/>
    </w:rPr>
  </w:style>
  <w:style w:type="paragraph" w:customStyle="1" w:styleId="TableBody">
    <w:name w:val="Table Body"/>
    <w:pPr>
      <w:spacing w:after="80" w:line="259" w:lineRule="auto"/>
    </w:pPr>
    <w:rPr>
      <w:rFonts w:ascii="Arial" w:eastAsia="Arial" w:hAnsi="Arial" w:cs="Arial"/>
      <w:color w:val="334D5B"/>
      <w:sz w:val="20"/>
      <w:lang w:val="ru-RU"/>
    </w:rPr>
  </w:style>
  <w:style w:type="paragraph" w:customStyle="1" w:styleId="Source">
    <w:name w:val="Source"/>
    <w:pPr>
      <w:spacing w:after="80" w:line="259" w:lineRule="auto"/>
    </w:pPr>
    <w:rPr>
      <w:rFonts w:ascii="Arial" w:eastAsia="Arial" w:hAnsi="Arial" w:cs="Arial"/>
      <w:color w:val="334D5B"/>
      <w:sz w:val="18"/>
      <w:lang w:val="ru-RU"/>
    </w:rPr>
  </w:style>
  <w:style w:type="paragraph" w:customStyle="1" w:styleId="Callout">
    <w:name w:val="Callout"/>
    <w:pPr>
      <w:spacing w:after="80" w:line="259" w:lineRule="auto"/>
    </w:pPr>
    <w:rPr>
      <w:rFonts w:ascii="Arial" w:eastAsia="Arial" w:hAnsi="Arial" w:cs="Arial"/>
      <w:color w:val="334D5B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Навыки создания аналитических материалов. Лекция 6</dc:title>
  <dc:subject>Учебный материал для бакалавриата</dc:subject>
  <dc:creator/>
  <cp:keywords>аналитика, источники, отчет, аргументация,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2026-10-07T18:46:00Z</dcterms:modified>
  <cp:category/>
</cp:coreProperties>
</file>