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2FD06" w14:textId="77777777" w:rsidR="00B8582D" w:rsidRDefault="00000000">
      <w:pPr>
        <w:pStyle w:val="aa"/>
      </w:pPr>
      <w:r>
        <w:t>Описательная статистика, динамика и корректное сравнение</w:t>
      </w:r>
    </w:p>
    <w:p w14:paraId="2C63F731" w14:textId="77777777" w:rsidR="00B8582D" w:rsidRDefault="00000000">
      <w:pPr>
        <w:pStyle w:val="1"/>
      </w:pPr>
      <w:r>
        <w:t>1. Абсолютные числа, доли и основания сравнения</w:t>
      </w:r>
    </w:p>
    <w:p w14:paraId="120ED69D" w14:textId="77777777" w:rsidR="00B8582D" w:rsidRDefault="00000000">
      <w:r>
        <w:t>Абсолютное число показывает масштаб. Доля связывает часть с целым. Интенсивность соотносит разные, но содержательно связанные величины: обращения на час работы, завершения на тысячу посещений. Одинаковое процентное обозначение не означает одинакового смысла показателя.</w:t>
      </w:r>
    </w:p>
    <w:p w14:paraId="5E4C0745" w14:textId="77777777" w:rsidR="00B8582D" w:rsidRDefault="00000000">
      <w:r>
        <w:t>Для доли p = k / n × 100%, где k — число наблюдений с нужным признаком, n — число допустимых наблюдений. Числитель должен принадлежать знаменателю. Если считаются уникальные люди, нельзя в числителе использовать количество их повторных действий.</w:t>
      </w:r>
    </w:p>
    <w:p w14:paraId="444ADE4A" w14:textId="77777777" w:rsidR="00DB41C1" w:rsidRDefault="00DB41C1"/>
    <w:tbl>
      <w:tblPr>
        <w:tblW w:w="0" w:type="auto"/>
        <w:jc w:val="center"/>
        <w:tblLayout w:type="fixed"/>
        <w:tblLook w:val="04A0" w:firstRow="1" w:lastRow="0" w:firstColumn="1" w:lastColumn="0" w:noHBand="0" w:noVBand="1"/>
      </w:tblPr>
      <w:tblGrid>
        <w:gridCol w:w="2381"/>
        <w:gridCol w:w="3628"/>
        <w:gridCol w:w="3628"/>
      </w:tblGrid>
      <w:tr w:rsidR="00B8582D" w14:paraId="60FCA256" w14:textId="77777777">
        <w:trPr>
          <w:cantSplit/>
          <w:tblHeader/>
          <w:jc w:val="center"/>
        </w:trPr>
        <w:tc>
          <w:tcPr>
            <w:tcW w:w="2381" w:type="dxa"/>
            <w:shd w:val="clear" w:color="auto" w:fill="173B50"/>
            <w:tcMar>
              <w:top w:w="65" w:type="dxa"/>
              <w:left w:w="85" w:type="dxa"/>
              <w:bottom w:w="65" w:type="dxa"/>
              <w:right w:w="85" w:type="dxa"/>
            </w:tcMar>
            <w:vAlign w:val="center"/>
          </w:tcPr>
          <w:p w14:paraId="25BFD1C9" w14:textId="77777777" w:rsidR="00B8582D" w:rsidRDefault="00000000">
            <w:pPr>
              <w:pStyle w:val="TableBody"/>
            </w:pPr>
            <w:r>
              <w:rPr>
                <w:b/>
                <w:color w:val="FFFFFF"/>
              </w:rPr>
              <w:t>Формулировка</w:t>
            </w:r>
          </w:p>
        </w:tc>
        <w:tc>
          <w:tcPr>
            <w:tcW w:w="3628" w:type="dxa"/>
            <w:shd w:val="clear" w:color="auto" w:fill="173B50"/>
            <w:tcMar>
              <w:top w:w="65" w:type="dxa"/>
              <w:left w:w="85" w:type="dxa"/>
              <w:bottom w:w="65" w:type="dxa"/>
              <w:right w:w="85" w:type="dxa"/>
            </w:tcMar>
            <w:vAlign w:val="center"/>
          </w:tcPr>
          <w:p w14:paraId="4ADFDF31" w14:textId="77777777" w:rsidR="00B8582D" w:rsidRDefault="00000000">
            <w:pPr>
              <w:pStyle w:val="TableBody"/>
            </w:pPr>
            <w:r>
              <w:rPr>
                <w:b/>
                <w:color w:val="FFFFFF"/>
              </w:rPr>
              <w:t>Требуемая база</w:t>
            </w:r>
          </w:p>
        </w:tc>
        <w:tc>
          <w:tcPr>
            <w:tcW w:w="3628" w:type="dxa"/>
            <w:shd w:val="clear" w:color="auto" w:fill="173B50"/>
            <w:tcMar>
              <w:top w:w="65" w:type="dxa"/>
              <w:left w:w="85" w:type="dxa"/>
              <w:bottom w:w="65" w:type="dxa"/>
              <w:right w:w="85" w:type="dxa"/>
            </w:tcMar>
            <w:vAlign w:val="center"/>
          </w:tcPr>
          <w:p w14:paraId="0982261B" w14:textId="77777777" w:rsidR="00B8582D" w:rsidRDefault="00000000">
            <w:pPr>
              <w:pStyle w:val="TableBody"/>
            </w:pPr>
            <w:r>
              <w:rPr>
                <w:b/>
                <w:color w:val="FFFFFF"/>
              </w:rPr>
              <w:t>Ограничение</w:t>
            </w:r>
          </w:p>
        </w:tc>
      </w:tr>
      <w:tr w:rsidR="00B8582D" w14:paraId="57886CFB" w14:textId="77777777">
        <w:trPr>
          <w:cantSplit/>
          <w:jc w:val="center"/>
        </w:trPr>
        <w:tc>
          <w:tcPr>
            <w:tcW w:w="2381" w:type="dxa"/>
            <w:shd w:val="clear" w:color="auto" w:fill="F0F5F7"/>
            <w:tcMar>
              <w:top w:w="65" w:type="dxa"/>
              <w:left w:w="85" w:type="dxa"/>
              <w:bottom w:w="65" w:type="dxa"/>
              <w:right w:w="85" w:type="dxa"/>
            </w:tcMar>
            <w:vAlign w:val="center"/>
          </w:tcPr>
          <w:p w14:paraId="56ECB6DA" w14:textId="77777777" w:rsidR="00B8582D" w:rsidRDefault="00000000">
            <w:pPr>
              <w:pStyle w:val="TableBody"/>
            </w:pPr>
            <w:r>
              <w:t>Доля завершивших среди начавших</w:t>
            </w:r>
          </w:p>
        </w:tc>
        <w:tc>
          <w:tcPr>
            <w:tcW w:w="3628" w:type="dxa"/>
            <w:shd w:val="clear" w:color="auto" w:fill="F0F5F7"/>
            <w:tcMar>
              <w:top w:w="65" w:type="dxa"/>
              <w:left w:w="85" w:type="dxa"/>
              <w:bottom w:w="65" w:type="dxa"/>
              <w:right w:w="85" w:type="dxa"/>
            </w:tcMar>
            <w:vAlign w:val="center"/>
          </w:tcPr>
          <w:p w14:paraId="522F9B77" w14:textId="77777777" w:rsidR="00B8582D" w:rsidRDefault="00000000">
            <w:pPr>
              <w:pStyle w:val="TableBody"/>
            </w:pPr>
            <w:r>
              <w:t>Начавшие одну когорту</w:t>
            </w:r>
          </w:p>
        </w:tc>
        <w:tc>
          <w:tcPr>
            <w:tcW w:w="3628" w:type="dxa"/>
            <w:shd w:val="clear" w:color="auto" w:fill="F0F5F7"/>
            <w:tcMar>
              <w:top w:w="65" w:type="dxa"/>
              <w:left w:w="85" w:type="dxa"/>
              <w:bottom w:w="65" w:type="dxa"/>
              <w:right w:w="85" w:type="dxa"/>
            </w:tcMar>
            <w:vAlign w:val="center"/>
          </w:tcPr>
          <w:p w14:paraId="076C0F02" w14:textId="77777777" w:rsidR="00B8582D" w:rsidRDefault="00000000">
            <w:pPr>
              <w:pStyle w:val="TableBody"/>
            </w:pPr>
            <w:r>
              <w:t>Не относится к посетителям сайта</w:t>
            </w:r>
          </w:p>
        </w:tc>
      </w:tr>
      <w:tr w:rsidR="00B8582D" w14:paraId="376E7486" w14:textId="77777777">
        <w:trPr>
          <w:cantSplit/>
          <w:jc w:val="center"/>
        </w:trPr>
        <w:tc>
          <w:tcPr>
            <w:tcW w:w="2381" w:type="dxa"/>
            <w:shd w:val="clear" w:color="auto" w:fill="FFFFFF"/>
            <w:tcMar>
              <w:top w:w="65" w:type="dxa"/>
              <w:left w:w="85" w:type="dxa"/>
              <w:bottom w:w="65" w:type="dxa"/>
              <w:right w:w="85" w:type="dxa"/>
            </w:tcMar>
            <w:vAlign w:val="center"/>
          </w:tcPr>
          <w:p w14:paraId="27C9CE4C" w14:textId="77777777" w:rsidR="00B8582D" w:rsidRDefault="00000000">
            <w:pPr>
              <w:pStyle w:val="TableBody"/>
            </w:pPr>
            <w:r>
              <w:t>Доля заявок среди посетителей</w:t>
            </w:r>
          </w:p>
        </w:tc>
        <w:tc>
          <w:tcPr>
            <w:tcW w:w="3628" w:type="dxa"/>
            <w:shd w:val="clear" w:color="auto" w:fill="FFFFFF"/>
            <w:tcMar>
              <w:top w:w="65" w:type="dxa"/>
              <w:left w:w="85" w:type="dxa"/>
              <w:bottom w:w="65" w:type="dxa"/>
              <w:right w:w="85" w:type="dxa"/>
            </w:tcMar>
            <w:vAlign w:val="center"/>
          </w:tcPr>
          <w:p w14:paraId="03FC0FC8" w14:textId="77777777" w:rsidR="00B8582D" w:rsidRDefault="00000000">
            <w:pPr>
              <w:pStyle w:val="TableBody"/>
            </w:pPr>
            <w:r>
              <w:t>Сопоставимый учет посетителей</w:t>
            </w:r>
          </w:p>
        </w:tc>
        <w:tc>
          <w:tcPr>
            <w:tcW w:w="3628" w:type="dxa"/>
            <w:shd w:val="clear" w:color="auto" w:fill="FFFFFF"/>
            <w:tcMar>
              <w:top w:w="65" w:type="dxa"/>
              <w:left w:w="85" w:type="dxa"/>
              <w:bottom w:w="65" w:type="dxa"/>
              <w:right w:w="85" w:type="dxa"/>
            </w:tcMar>
            <w:vAlign w:val="center"/>
          </w:tcPr>
          <w:p w14:paraId="77F61AC8" w14:textId="77777777" w:rsidR="00B8582D" w:rsidRDefault="00000000">
            <w:pPr>
              <w:pStyle w:val="TableBody"/>
            </w:pPr>
            <w:r>
              <w:t>Возможны разные окна времени</w:t>
            </w:r>
          </w:p>
        </w:tc>
      </w:tr>
      <w:tr w:rsidR="00B8582D" w14:paraId="0F0496FC" w14:textId="77777777">
        <w:trPr>
          <w:cantSplit/>
          <w:jc w:val="center"/>
        </w:trPr>
        <w:tc>
          <w:tcPr>
            <w:tcW w:w="2381" w:type="dxa"/>
            <w:shd w:val="clear" w:color="auto" w:fill="F0F5F7"/>
            <w:tcMar>
              <w:top w:w="65" w:type="dxa"/>
              <w:left w:w="85" w:type="dxa"/>
              <w:bottom w:w="65" w:type="dxa"/>
              <w:right w:w="85" w:type="dxa"/>
            </w:tcMar>
            <w:vAlign w:val="center"/>
          </w:tcPr>
          <w:p w14:paraId="23791AEA" w14:textId="77777777" w:rsidR="00B8582D" w:rsidRDefault="00000000">
            <w:pPr>
              <w:pStyle w:val="TableBody"/>
            </w:pPr>
            <w:r>
              <w:t>Стоимость одного завершения</w:t>
            </w:r>
          </w:p>
        </w:tc>
        <w:tc>
          <w:tcPr>
            <w:tcW w:w="3628" w:type="dxa"/>
            <w:shd w:val="clear" w:color="auto" w:fill="F0F5F7"/>
            <w:tcMar>
              <w:top w:w="65" w:type="dxa"/>
              <w:left w:w="85" w:type="dxa"/>
              <w:bottom w:w="65" w:type="dxa"/>
              <w:right w:w="85" w:type="dxa"/>
            </w:tcMar>
            <w:vAlign w:val="center"/>
          </w:tcPr>
          <w:p w14:paraId="780A3B80" w14:textId="77777777" w:rsidR="00B8582D" w:rsidRDefault="00000000">
            <w:pPr>
              <w:pStyle w:val="TableBody"/>
            </w:pPr>
            <w:r>
              <w:t>Расходы и завершения одного периода</w:t>
            </w:r>
          </w:p>
        </w:tc>
        <w:tc>
          <w:tcPr>
            <w:tcW w:w="3628" w:type="dxa"/>
            <w:shd w:val="clear" w:color="auto" w:fill="F0F5F7"/>
            <w:tcMar>
              <w:top w:w="65" w:type="dxa"/>
              <w:left w:w="85" w:type="dxa"/>
              <w:bottom w:w="65" w:type="dxa"/>
              <w:right w:w="85" w:type="dxa"/>
            </w:tcMar>
            <w:vAlign w:val="center"/>
          </w:tcPr>
          <w:p w14:paraId="3B999C0E" w14:textId="77777777" w:rsidR="00B8582D" w:rsidRDefault="00000000">
            <w:pPr>
              <w:pStyle w:val="TableBody"/>
            </w:pPr>
            <w:r>
              <w:t>Это не полная стоимость обучения</w:t>
            </w:r>
          </w:p>
        </w:tc>
      </w:tr>
      <w:tr w:rsidR="00B8582D" w14:paraId="0C923C13" w14:textId="77777777">
        <w:trPr>
          <w:cantSplit/>
          <w:jc w:val="center"/>
        </w:trPr>
        <w:tc>
          <w:tcPr>
            <w:tcW w:w="2381" w:type="dxa"/>
            <w:shd w:val="clear" w:color="auto" w:fill="FFFFFF"/>
            <w:tcMar>
              <w:top w:w="65" w:type="dxa"/>
              <w:left w:w="85" w:type="dxa"/>
              <w:bottom w:w="65" w:type="dxa"/>
              <w:right w:w="85" w:type="dxa"/>
            </w:tcMar>
            <w:vAlign w:val="center"/>
          </w:tcPr>
          <w:p w14:paraId="3E21097A" w14:textId="77777777" w:rsidR="00B8582D" w:rsidRDefault="00000000">
            <w:pPr>
              <w:pStyle w:val="TableBody"/>
            </w:pPr>
            <w:r>
              <w:t>Выручка на участника</w:t>
            </w:r>
          </w:p>
        </w:tc>
        <w:tc>
          <w:tcPr>
            <w:tcW w:w="3628" w:type="dxa"/>
            <w:shd w:val="clear" w:color="auto" w:fill="FFFFFF"/>
            <w:tcMar>
              <w:top w:w="65" w:type="dxa"/>
              <w:left w:w="85" w:type="dxa"/>
              <w:bottom w:w="65" w:type="dxa"/>
              <w:right w:w="85" w:type="dxa"/>
            </w:tcMar>
            <w:vAlign w:val="center"/>
          </w:tcPr>
          <w:p w14:paraId="1475758C" w14:textId="77777777" w:rsidR="00B8582D" w:rsidRDefault="00000000">
            <w:pPr>
              <w:pStyle w:val="TableBody"/>
            </w:pPr>
            <w:r>
              <w:t>Выручка и плательщики</w:t>
            </w:r>
          </w:p>
        </w:tc>
        <w:tc>
          <w:tcPr>
            <w:tcW w:w="3628" w:type="dxa"/>
            <w:shd w:val="clear" w:color="auto" w:fill="FFFFFF"/>
            <w:tcMar>
              <w:top w:w="65" w:type="dxa"/>
              <w:left w:w="85" w:type="dxa"/>
              <w:bottom w:w="65" w:type="dxa"/>
              <w:right w:w="85" w:type="dxa"/>
            </w:tcMar>
            <w:vAlign w:val="center"/>
          </w:tcPr>
          <w:p w14:paraId="792B48BC" w14:textId="77777777" w:rsidR="00B8582D" w:rsidRDefault="00000000">
            <w:pPr>
              <w:pStyle w:val="TableBody"/>
            </w:pPr>
            <w:r>
              <w:t>Не равна прибыли</w:t>
            </w:r>
          </w:p>
        </w:tc>
      </w:tr>
    </w:tbl>
    <w:p w14:paraId="61176E68" w14:textId="77777777" w:rsidR="00B8582D" w:rsidRDefault="00B8582D">
      <w:pPr>
        <w:spacing w:after="0" w:line="60" w:lineRule="exact"/>
      </w:pPr>
    </w:p>
    <w:p w14:paraId="090BF328" w14:textId="77777777" w:rsidR="00DB41C1" w:rsidRDefault="00DB41C1">
      <w:pPr>
        <w:pStyle w:val="21"/>
      </w:pPr>
    </w:p>
    <w:p w14:paraId="5AF36CE3" w14:textId="073EA350" w:rsidR="00B8582D" w:rsidRDefault="00000000">
      <w:pPr>
        <w:pStyle w:val="21"/>
      </w:pPr>
      <w:r>
        <w:t>Динамика</w:t>
      </w:r>
    </w:p>
    <w:p w14:paraId="47A529E4" w14:textId="77777777" w:rsidR="00B8582D" w:rsidRDefault="00000000">
      <w:r>
        <w:t>Абсолютное изменение Δ = x₂ − x₁. Темп прироста g = (x₂ − x₁) / x₁ × 100%. Темп роста равен x₂ / x₁ × 100%. При изменении со 100 до 120 темп роста — 120%, темп прироста — 20%. Смешение терминов создает ненужную двусмысленность.</w:t>
      </w:r>
    </w:p>
    <w:p w14:paraId="2644D91C" w14:textId="77777777" w:rsidR="00B8582D" w:rsidRDefault="00000000">
      <w:r>
        <w:t>Изменение доли с 12% до 15% составляет 3 процентного пункта и 25% относительно исходной доли. Обе записи верны, но отвечают на разные вопросы. Выбирайте ту, которая помогает аудитории, и обязательно называйте основание.</w:t>
      </w:r>
    </w:p>
    <w:p w14:paraId="3A49D360" w14:textId="77777777" w:rsidR="00B8582D" w:rsidRDefault="00000000">
      <w:r>
        <w:t>При нулевой исходной величине обычный относительный прирост не определен. При отрицательной базе стандартная процентная интерпретация также может вводить в заблуждение. В таких случаях лучше показать значения, абсолютную разницу и содержательное объяснение, чем публиковать впечатляющее, но непонятное число.</w:t>
      </w:r>
    </w:p>
    <w:p w14:paraId="3D3ED94D" w14:textId="77777777" w:rsidR="00B8582D" w:rsidRDefault="00000000">
      <w:r>
        <w:br w:type="page"/>
      </w:r>
    </w:p>
    <w:p w14:paraId="2F232721" w14:textId="77777777" w:rsidR="00B8582D" w:rsidRDefault="00000000">
      <w:pPr>
        <w:pStyle w:val="1"/>
      </w:pPr>
      <w:r>
        <w:lastRenderedPageBreak/>
        <w:t>2. Типичное значение и распределение</w:t>
      </w:r>
    </w:p>
    <w:p w14:paraId="72A0F3C1" w14:textId="77777777" w:rsidR="00B8582D" w:rsidRDefault="00000000">
      <w:r>
        <w:t>Среднее арифметическое получается делением суммы на число значений. Медиана делит упорядоченные наблюдения пополам. Они характеризуют разные стороны центра распределения. NIST рассматривает выбор меры положения с учетом формы данных и влияния крайних значений [2].</w:t>
      </w:r>
    </w:p>
    <w:p w14:paraId="23B419FE" w14:textId="77777777" w:rsidR="00B8582D" w:rsidRDefault="00000000">
      <w:r>
        <w:t>В учебном наборе время ответа в часах равно: 2, 3, 4, 4, 5, 6, 6, 7, 8, 35. Сумма — 80, среднее — 8 часов. Медиана — полусумма пятого и шестого значений: 5,5 часа. Один длительный случай существенно поднимает среднее, но может быть важнейшей проблемой сервиса.</w:t>
      </w:r>
    </w:p>
    <w:p w14:paraId="70B65747" w14:textId="77777777" w:rsidR="00DB41C1" w:rsidRDefault="00DB41C1"/>
    <w:tbl>
      <w:tblPr>
        <w:tblW w:w="0" w:type="auto"/>
        <w:jc w:val="center"/>
        <w:tblLayout w:type="fixed"/>
        <w:tblLook w:val="04A0" w:firstRow="1" w:lastRow="0" w:firstColumn="1" w:lastColumn="0" w:noHBand="0" w:noVBand="1"/>
      </w:tblPr>
      <w:tblGrid>
        <w:gridCol w:w="2381"/>
        <w:gridCol w:w="3628"/>
        <w:gridCol w:w="3628"/>
      </w:tblGrid>
      <w:tr w:rsidR="00B8582D" w14:paraId="34A7C04F" w14:textId="77777777">
        <w:trPr>
          <w:cantSplit/>
          <w:tblHeader/>
          <w:jc w:val="center"/>
        </w:trPr>
        <w:tc>
          <w:tcPr>
            <w:tcW w:w="2381" w:type="dxa"/>
            <w:shd w:val="clear" w:color="auto" w:fill="173B50"/>
            <w:tcMar>
              <w:top w:w="65" w:type="dxa"/>
              <w:left w:w="85" w:type="dxa"/>
              <w:bottom w:w="65" w:type="dxa"/>
              <w:right w:w="85" w:type="dxa"/>
            </w:tcMar>
            <w:vAlign w:val="center"/>
          </w:tcPr>
          <w:p w14:paraId="4F55E7E2" w14:textId="77777777" w:rsidR="00B8582D" w:rsidRDefault="00000000">
            <w:pPr>
              <w:pStyle w:val="TableBody"/>
            </w:pPr>
            <w:r>
              <w:rPr>
                <w:b/>
                <w:color w:val="FFFFFF"/>
              </w:rPr>
              <w:t>Показатель</w:t>
            </w:r>
          </w:p>
        </w:tc>
        <w:tc>
          <w:tcPr>
            <w:tcW w:w="3628" w:type="dxa"/>
            <w:shd w:val="clear" w:color="auto" w:fill="173B50"/>
            <w:tcMar>
              <w:top w:w="65" w:type="dxa"/>
              <w:left w:w="85" w:type="dxa"/>
              <w:bottom w:w="65" w:type="dxa"/>
              <w:right w:w="85" w:type="dxa"/>
            </w:tcMar>
            <w:vAlign w:val="center"/>
          </w:tcPr>
          <w:p w14:paraId="2DADB54D" w14:textId="77777777" w:rsidR="00B8582D" w:rsidRDefault="00000000">
            <w:pPr>
              <w:pStyle w:val="TableBody"/>
            </w:pPr>
            <w:r>
              <w:rPr>
                <w:b/>
                <w:color w:val="FFFFFF"/>
              </w:rPr>
              <w:t>Значение</w:t>
            </w:r>
          </w:p>
        </w:tc>
        <w:tc>
          <w:tcPr>
            <w:tcW w:w="3628" w:type="dxa"/>
            <w:shd w:val="clear" w:color="auto" w:fill="173B50"/>
            <w:tcMar>
              <w:top w:w="65" w:type="dxa"/>
              <w:left w:w="85" w:type="dxa"/>
              <w:bottom w:w="65" w:type="dxa"/>
              <w:right w:w="85" w:type="dxa"/>
            </w:tcMar>
            <w:vAlign w:val="center"/>
          </w:tcPr>
          <w:p w14:paraId="7C110989" w14:textId="77777777" w:rsidR="00B8582D" w:rsidRDefault="00000000">
            <w:pPr>
              <w:pStyle w:val="TableBody"/>
            </w:pPr>
            <w:r>
              <w:rPr>
                <w:b/>
                <w:color w:val="FFFFFF"/>
              </w:rPr>
              <w:t>Что объясняет</w:t>
            </w:r>
          </w:p>
        </w:tc>
      </w:tr>
      <w:tr w:rsidR="00B8582D" w14:paraId="3AD54807" w14:textId="77777777">
        <w:trPr>
          <w:cantSplit/>
          <w:jc w:val="center"/>
        </w:trPr>
        <w:tc>
          <w:tcPr>
            <w:tcW w:w="2381" w:type="dxa"/>
            <w:shd w:val="clear" w:color="auto" w:fill="F0F5F7"/>
            <w:tcMar>
              <w:top w:w="65" w:type="dxa"/>
              <w:left w:w="85" w:type="dxa"/>
              <w:bottom w:w="65" w:type="dxa"/>
              <w:right w:w="85" w:type="dxa"/>
            </w:tcMar>
            <w:vAlign w:val="center"/>
          </w:tcPr>
          <w:p w14:paraId="22897423" w14:textId="77777777" w:rsidR="00B8582D" w:rsidRDefault="00000000">
            <w:pPr>
              <w:pStyle w:val="TableBody"/>
            </w:pPr>
            <w:r>
              <w:t>Среднее</w:t>
            </w:r>
          </w:p>
        </w:tc>
        <w:tc>
          <w:tcPr>
            <w:tcW w:w="3628" w:type="dxa"/>
            <w:shd w:val="clear" w:color="auto" w:fill="F0F5F7"/>
            <w:tcMar>
              <w:top w:w="65" w:type="dxa"/>
              <w:left w:w="85" w:type="dxa"/>
              <w:bottom w:w="65" w:type="dxa"/>
              <w:right w:w="85" w:type="dxa"/>
            </w:tcMar>
            <w:vAlign w:val="center"/>
          </w:tcPr>
          <w:p w14:paraId="0E39299A" w14:textId="77777777" w:rsidR="00B8582D" w:rsidRDefault="00000000">
            <w:pPr>
              <w:pStyle w:val="TableBody"/>
            </w:pPr>
            <w:r>
              <w:t>8 часов</w:t>
            </w:r>
          </w:p>
        </w:tc>
        <w:tc>
          <w:tcPr>
            <w:tcW w:w="3628" w:type="dxa"/>
            <w:shd w:val="clear" w:color="auto" w:fill="F0F5F7"/>
            <w:tcMar>
              <w:top w:w="65" w:type="dxa"/>
              <w:left w:w="85" w:type="dxa"/>
              <w:bottom w:w="65" w:type="dxa"/>
              <w:right w:w="85" w:type="dxa"/>
            </w:tcMar>
            <w:vAlign w:val="center"/>
          </w:tcPr>
          <w:p w14:paraId="41FDA5FA" w14:textId="77777777" w:rsidR="00B8582D" w:rsidRDefault="00000000">
            <w:pPr>
              <w:pStyle w:val="TableBody"/>
            </w:pPr>
            <w:r>
              <w:t>Общие затраты времени в среднем на запись</w:t>
            </w:r>
          </w:p>
        </w:tc>
      </w:tr>
      <w:tr w:rsidR="00B8582D" w14:paraId="0AE16B0A" w14:textId="77777777">
        <w:trPr>
          <w:cantSplit/>
          <w:jc w:val="center"/>
        </w:trPr>
        <w:tc>
          <w:tcPr>
            <w:tcW w:w="2381" w:type="dxa"/>
            <w:shd w:val="clear" w:color="auto" w:fill="FFFFFF"/>
            <w:tcMar>
              <w:top w:w="65" w:type="dxa"/>
              <w:left w:w="85" w:type="dxa"/>
              <w:bottom w:w="65" w:type="dxa"/>
              <w:right w:w="85" w:type="dxa"/>
            </w:tcMar>
            <w:vAlign w:val="center"/>
          </w:tcPr>
          <w:p w14:paraId="23391713" w14:textId="77777777" w:rsidR="00B8582D" w:rsidRDefault="00000000">
            <w:pPr>
              <w:pStyle w:val="TableBody"/>
            </w:pPr>
            <w:r>
              <w:t>Медиана</w:t>
            </w:r>
          </w:p>
        </w:tc>
        <w:tc>
          <w:tcPr>
            <w:tcW w:w="3628" w:type="dxa"/>
            <w:shd w:val="clear" w:color="auto" w:fill="FFFFFF"/>
            <w:tcMar>
              <w:top w:w="65" w:type="dxa"/>
              <w:left w:w="85" w:type="dxa"/>
              <w:bottom w:w="65" w:type="dxa"/>
              <w:right w:w="85" w:type="dxa"/>
            </w:tcMar>
            <w:vAlign w:val="center"/>
          </w:tcPr>
          <w:p w14:paraId="60370845" w14:textId="77777777" w:rsidR="00B8582D" w:rsidRDefault="00000000">
            <w:pPr>
              <w:pStyle w:val="TableBody"/>
            </w:pPr>
            <w:r>
              <w:t>5,5 часа</w:t>
            </w:r>
          </w:p>
        </w:tc>
        <w:tc>
          <w:tcPr>
            <w:tcW w:w="3628" w:type="dxa"/>
            <w:shd w:val="clear" w:color="auto" w:fill="FFFFFF"/>
            <w:tcMar>
              <w:top w:w="65" w:type="dxa"/>
              <w:left w:w="85" w:type="dxa"/>
              <w:bottom w:w="65" w:type="dxa"/>
              <w:right w:w="85" w:type="dxa"/>
            </w:tcMar>
            <w:vAlign w:val="center"/>
          </w:tcPr>
          <w:p w14:paraId="3A452D23" w14:textId="77777777" w:rsidR="00B8582D" w:rsidRDefault="00000000">
            <w:pPr>
              <w:pStyle w:val="TableBody"/>
            </w:pPr>
            <w:r>
              <w:t>Середину упорядоченного набора</w:t>
            </w:r>
          </w:p>
        </w:tc>
      </w:tr>
      <w:tr w:rsidR="00B8582D" w14:paraId="3F28F486" w14:textId="77777777">
        <w:trPr>
          <w:cantSplit/>
          <w:jc w:val="center"/>
        </w:trPr>
        <w:tc>
          <w:tcPr>
            <w:tcW w:w="2381" w:type="dxa"/>
            <w:shd w:val="clear" w:color="auto" w:fill="F0F5F7"/>
            <w:tcMar>
              <w:top w:w="65" w:type="dxa"/>
              <w:left w:w="85" w:type="dxa"/>
              <w:bottom w:w="65" w:type="dxa"/>
              <w:right w:w="85" w:type="dxa"/>
            </w:tcMar>
            <w:vAlign w:val="center"/>
          </w:tcPr>
          <w:p w14:paraId="04D41183" w14:textId="77777777" w:rsidR="00B8582D" w:rsidRDefault="00000000">
            <w:pPr>
              <w:pStyle w:val="TableBody"/>
            </w:pPr>
            <w:r>
              <w:t>Минимум и максимум</w:t>
            </w:r>
          </w:p>
        </w:tc>
        <w:tc>
          <w:tcPr>
            <w:tcW w:w="3628" w:type="dxa"/>
            <w:shd w:val="clear" w:color="auto" w:fill="F0F5F7"/>
            <w:tcMar>
              <w:top w:w="65" w:type="dxa"/>
              <w:left w:w="85" w:type="dxa"/>
              <w:bottom w:w="65" w:type="dxa"/>
              <w:right w:w="85" w:type="dxa"/>
            </w:tcMar>
            <w:vAlign w:val="center"/>
          </w:tcPr>
          <w:p w14:paraId="56B08EE1" w14:textId="77777777" w:rsidR="00B8582D" w:rsidRDefault="00000000">
            <w:pPr>
              <w:pStyle w:val="TableBody"/>
            </w:pPr>
            <w:r>
              <w:t>2 и 35 часов</w:t>
            </w:r>
          </w:p>
        </w:tc>
        <w:tc>
          <w:tcPr>
            <w:tcW w:w="3628" w:type="dxa"/>
            <w:shd w:val="clear" w:color="auto" w:fill="F0F5F7"/>
            <w:tcMar>
              <w:top w:w="65" w:type="dxa"/>
              <w:left w:w="85" w:type="dxa"/>
              <w:bottom w:w="65" w:type="dxa"/>
              <w:right w:w="85" w:type="dxa"/>
            </w:tcMar>
            <w:vAlign w:val="center"/>
          </w:tcPr>
          <w:p w14:paraId="4E6621BB" w14:textId="77777777" w:rsidR="00B8582D" w:rsidRDefault="00000000">
            <w:pPr>
              <w:pStyle w:val="TableBody"/>
            </w:pPr>
            <w:r>
              <w:t>Наблюдаемый диапазон</w:t>
            </w:r>
          </w:p>
        </w:tc>
      </w:tr>
      <w:tr w:rsidR="00B8582D" w14:paraId="626EE651" w14:textId="77777777">
        <w:trPr>
          <w:cantSplit/>
          <w:jc w:val="center"/>
        </w:trPr>
        <w:tc>
          <w:tcPr>
            <w:tcW w:w="2381" w:type="dxa"/>
            <w:shd w:val="clear" w:color="auto" w:fill="FFFFFF"/>
            <w:tcMar>
              <w:top w:w="65" w:type="dxa"/>
              <w:left w:w="85" w:type="dxa"/>
              <w:bottom w:w="65" w:type="dxa"/>
              <w:right w:w="85" w:type="dxa"/>
            </w:tcMar>
            <w:vAlign w:val="center"/>
          </w:tcPr>
          <w:p w14:paraId="2139A09C" w14:textId="77777777" w:rsidR="00B8582D" w:rsidRDefault="00000000">
            <w:pPr>
              <w:pStyle w:val="TableBody"/>
            </w:pPr>
            <w:r>
              <w:t>Число наблюдений</w:t>
            </w:r>
          </w:p>
        </w:tc>
        <w:tc>
          <w:tcPr>
            <w:tcW w:w="3628" w:type="dxa"/>
            <w:shd w:val="clear" w:color="auto" w:fill="FFFFFF"/>
            <w:tcMar>
              <w:top w:w="65" w:type="dxa"/>
              <w:left w:w="85" w:type="dxa"/>
              <w:bottom w:w="65" w:type="dxa"/>
              <w:right w:w="85" w:type="dxa"/>
            </w:tcMar>
            <w:vAlign w:val="center"/>
          </w:tcPr>
          <w:p w14:paraId="3AD331AD" w14:textId="77777777" w:rsidR="00B8582D" w:rsidRDefault="00000000">
            <w:pPr>
              <w:pStyle w:val="TableBody"/>
            </w:pPr>
            <w:r>
              <w:t>10</w:t>
            </w:r>
          </w:p>
        </w:tc>
        <w:tc>
          <w:tcPr>
            <w:tcW w:w="3628" w:type="dxa"/>
            <w:shd w:val="clear" w:color="auto" w:fill="FFFFFF"/>
            <w:tcMar>
              <w:top w:w="65" w:type="dxa"/>
              <w:left w:w="85" w:type="dxa"/>
              <w:bottom w:w="65" w:type="dxa"/>
              <w:right w:w="85" w:type="dxa"/>
            </w:tcMar>
            <w:vAlign w:val="center"/>
          </w:tcPr>
          <w:p w14:paraId="53258BBE" w14:textId="77777777" w:rsidR="00B8582D" w:rsidRDefault="00000000">
            <w:pPr>
              <w:pStyle w:val="TableBody"/>
            </w:pPr>
            <w:r>
              <w:t>Масштаб основания</w:t>
            </w:r>
          </w:p>
        </w:tc>
      </w:tr>
    </w:tbl>
    <w:p w14:paraId="538699A6" w14:textId="77777777" w:rsidR="00B8582D" w:rsidRDefault="00B8582D">
      <w:pPr>
        <w:spacing w:after="0" w:line="60" w:lineRule="exact"/>
      </w:pPr>
    </w:p>
    <w:p w14:paraId="76D742A1" w14:textId="77777777" w:rsidR="00DB41C1" w:rsidRDefault="00DB41C1">
      <w:pPr>
        <w:pStyle w:val="21"/>
      </w:pPr>
    </w:p>
    <w:p w14:paraId="6DC1688B" w14:textId="1E3F20BA" w:rsidR="00B8582D" w:rsidRDefault="00000000">
      <w:pPr>
        <w:pStyle w:val="21"/>
      </w:pPr>
      <w:r>
        <w:t>Не удалять неудобное автоматически</w:t>
      </w:r>
    </w:p>
    <w:p w14:paraId="2FD48446" w14:textId="77777777" w:rsidR="00B8582D" w:rsidRDefault="00000000">
      <w:r>
        <w:t>Значение 35 сначала проверяют по журналу. Если это реальная задержка, удаление ради более хорошего среднего искажает опыт части пользователей. Если ошибка единицы, исправляют по подтвержденному правилу. Можно показать результат с редким случаем и отдельно исследовать его причины.</w:t>
      </w:r>
    </w:p>
    <w:p w14:paraId="06E33AF0" w14:textId="77777777" w:rsidR="00B8582D" w:rsidRDefault="00000000">
      <w:r>
        <w:t>Среднее по разным группам не всегда равно среднему их средних. Для объединения требуются веса, соответствующие численности или другой выбранной базе. Среднее 90% и 50% не описывает общий результат, если первая группа содержит десять человек, а вторая — тысячу.</w:t>
      </w:r>
    </w:p>
    <w:p w14:paraId="5658C3EE" w14:textId="77777777" w:rsidR="00B8582D" w:rsidRDefault="00000000">
      <w:r>
        <w:t>В тексте полезно сочетать меру центра с распределением: «Половина ответов была получена не позднее 5,5 часа; один случай занял 35 часов». Такой абзац содержательнее фразы «среднее время приемлемо», если критерий приемлемости вообще не определен.</w:t>
      </w:r>
    </w:p>
    <w:p w14:paraId="26616AE3" w14:textId="77777777" w:rsidR="00B8582D" w:rsidRDefault="00000000">
      <w:r>
        <w:br w:type="page"/>
      </w:r>
    </w:p>
    <w:p w14:paraId="024E4FC0" w14:textId="77777777" w:rsidR="00B8582D" w:rsidRDefault="00000000">
      <w:pPr>
        <w:pStyle w:val="1"/>
      </w:pPr>
      <w:r>
        <w:lastRenderedPageBreak/>
        <w:t>3. Реальный кейс: электронная торговля Казахстана</w:t>
      </w:r>
    </w:p>
    <w:p w14:paraId="11561E98" w14:textId="77777777" w:rsidR="00B8582D" w:rsidRDefault="00000000">
      <w:r>
        <w:t>В выпуске БНС РК за 2025 год опубликованы сопоставимые значения розничной электронной торговли за 2023–2025 годы [1]. Источник предупреждает, что начиная с 2022 года ряд включает маркетплейсы. Поэтому скачок между 2021 и 2022 годами нельзя трактовать как чистый рост при неизменном охвате.</w:t>
      </w:r>
    </w:p>
    <w:p w14:paraId="507A545F" w14:textId="77777777" w:rsidR="00DB41C1" w:rsidRDefault="00DB41C1"/>
    <w:tbl>
      <w:tblPr>
        <w:tblW w:w="0" w:type="auto"/>
        <w:jc w:val="center"/>
        <w:tblLayout w:type="fixed"/>
        <w:tblLook w:val="04A0" w:firstRow="1" w:lastRow="0" w:firstColumn="1" w:lastColumn="0" w:noHBand="0" w:noVBand="1"/>
      </w:tblPr>
      <w:tblGrid>
        <w:gridCol w:w="2381"/>
        <w:gridCol w:w="3628"/>
        <w:gridCol w:w="3628"/>
      </w:tblGrid>
      <w:tr w:rsidR="00B8582D" w14:paraId="0FD19F54" w14:textId="77777777">
        <w:trPr>
          <w:cantSplit/>
          <w:tblHeader/>
          <w:jc w:val="center"/>
        </w:trPr>
        <w:tc>
          <w:tcPr>
            <w:tcW w:w="2381" w:type="dxa"/>
            <w:shd w:val="clear" w:color="auto" w:fill="173B50"/>
            <w:tcMar>
              <w:top w:w="65" w:type="dxa"/>
              <w:left w:w="85" w:type="dxa"/>
              <w:bottom w:w="65" w:type="dxa"/>
              <w:right w:w="85" w:type="dxa"/>
            </w:tcMar>
            <w:vAlign w:val="center"/>
          </w:tcPr>
          <w:p w14:paraId="2FE05648" w14:textId="77777777" w:rsidR="00B8582D" w:rsidRDefault="00000000">
            <w:pPr>
              <w:pStyle w:val="TableBody"/>
            </w:pPr>
            <w:r>
              <w:rPr>
                <w:b/>
                <w:color w:val="FFFFFF"/>
              </w:rPr>
              <w:t>Год</w:t>
            </w:r>
          </w:p>
        </w:tc>
        <w:tc>
          <w:tcPr>
            <w:tcW w:w="3628" w:type="dxa"/>
            <w:shd w:val="clear" w:color="auto" w:fill="173B50"/>
            <w:tcMar>
              <w:top w:w="65" w:type="dxa"/>
              <w:left w:w="85" w:type="dxa"/>
              <w:bottom w:w="65" w:type="dxa"/>
              <w:right w:w="85" w:type="dxa"/>
            </w:tcMar>
            <w:vAlign w:val="center"/>
          </w:tcPr>
          <w:p w14:paraId="4C5AE751" w14:textId="77777777" w:rsidR="00B8582D" w:rsidRDefault="00000000">
            <w:pPr>
              <w:pStyle w:val="TableBody"/>
            </w:pPr>
            <w:r>
              <w:rPr>
                <w:b/>
                <w:color w:val="FFFFFF"/>
              </w:rPr>
              <w:t>Объем, млн тенге</w:t>
            </w:r>
          </w:p>
        </w:tc>
        <w:tc>
          <w:tcPr>
            <w:tcW w:w="3628" w:type="dxa"/>
            <w:shd w:val="clear" w:color="auto" w:fill="173B50"/>
            <w:tcMar>
              <w:top w:w="65" w:type="dxa"/>
              <w:left w:w="85" w:type="dxa"/>
              <w:bottom w:w="65" w:type="dxa"/>
              <w:right w:w="85" w:type="dxa"/>
            </w:tcMar>
            <w:vAlign w:val="center"/>
          </w:tcPr>
          <w:p w14:paraId="5668DC20" w14:textId="77777777" w:rsidR="00B8582D" w:rsidRDefault="00000000">
            <w:pPr>
              <w:pStyle w:val="TableBody"/>
            </w:pPr>
            <w:r>
              <w:rPr>
                <w:b/>
                <w:color w:val="FFFFFF"/>
              </w:rPr>
              <w:t>Доля в розничной торговле</w:t>
            </w:r>
          </w:p>
        </w:tc>
      </w:tr>
      <w:tr w:rsidR="00B8582D" w14:paraId="389454DB" w14:textId="77777777">
        <w:trPr>
          <w:cantSplit/>
          <w:jc w:val="center"/>
        </w:trPr>
        <w:tc>
          <w:tcPr>
            <w:tcW w:w="2381" w:type="dxa"/>
            <w:shd w:val="clear" w:color="auto" w:fill="F0F5F7"/>
            <w:tcMar>
              <w:top w:w="65" w:type="dxa"/>
              <w:left w:w="85" w:type="dxa"/>
              <w:bottom w:w="65" w:type="dxa"/>
              <w:right w:w="85" w:type="dxa"/>
            </w:tcMar>
            <w:vAlign w:val="center"/>
          </w:tcPr>
          <w:p w14:paraId="77DA1BF9" w14:textId="77777777" w:rsidR="00B8582D" w:rsidRDefault="00000000">
            <w:pPr>
              <w:pStyle w:val="TableBody"/>
            </w:pPr>
            <w:r>
              <w:t>2023</w:t>
            </w:r>
          </w:p>
        </w:tc>
        <w:tc>
          <w:tcPr>
            <w:tcW w:w="3628" w:type="dxa"/>
            <w:shd w:val="clear" w:color="auto" w:fill="F0F5F7"/>
            <w:tcMar>
              <w:top w:w="65" w:type="dxa"/>
              <w:left w:w="85" w:type="dxa"/>
              <w:bottom w:w="65" w:type="dxa"/>
              <w:right w:w="85" w:type="dxa"/>
            </w:tcMar>
            <w:vAlign w:val="center"/>
          </w:tcPr>
          <w:p w14:paraId="05702416" w14:textId="77777777" w:rsidR="00B8582D" w:rsidRDefault="00000000">
            <w:pPr>
              <w:pStyle w:val="TableBody"/>
            </w:pPr>
            <w:r>
              <w:t>2 439 821,5</w:t>
            </w:r>
          </w:p>
        </w:tc>
        <w:tc>
          <w:tcPr>
            <w:tcW w:w="3628" w:type="dxa"/>
            <w:shd w:val="clear" w:color="auto" w:fill="F0F5F7"/>
            <w:tcMar>
              <w:top w:w="65" w:type="dxa"/>
              <w:left w:w="85" w:type="dxa"/>
              <w:bottom w:w="65" w:type="dxa"/>
              <w:right w:w="85" w:type="dxa"/>
            </w:tcMar>
            <w:vAlign w:val="center"/>
          </w:tcPr>
          <w:p w14:paraId="3A250096" w14:textId="77777777" w:rsidR="00B8582D" w:rsidRDefault="00000000">
            <w:pPr>
              <w:pStyle w:val="TableBody"/>
            </w:pPr>
            <w:r>
              <w:t>12,7%</w:t>
            </w:r>
          </w:p>
        </w:tc>
      </w:tr>
      <w:tr w:rsidR="00B8582D" w14:paraId="5AE13EAD" w14:textId="77777777">
        <w:trPr>
          <w:cantSplit/>
          <w:jc w:val="center"/>
        </w:trPr>
        <w:tc>
          <w:tcPr>
            <w:tcW w:w="2381" w:type="dxa"/>
            <w:shd w:val="clear" w:color="auto" w:fill="FFFFFF"/>
            <w:tcMar>
              <w:top w:w="65" w:type="dxa"/>
              <w:left w:w="85" w:type="dxa"/>
              <w:bottom w:w="65" w:type="dxa"/>
              <w:right w:w="85" w:type="dxa"/>
            </w:tcMar>
            <w:vAlign w:val="center"/>
          </w:tcPr>
          <w:p w14:paraId="2D8831A6" w14:textId="77777777" w:rsidR="00B8582D" w:rsidRDefault="00000000">
            <w:pPr>
              <w:pStyle w:val="TableBody"/>
            </w:pPr>
            <w:r>
              <w:t>2024</w:t>
            </w:r>
          </w:p>
        </w:tc>
        <w:tc>
          <w:tcPr>
            <w:tcW w:w="3628" w:type="dxa"/>
            <w:shd w:val="clear" w:color="auto" w:fill="FFFFFF"/>
            <w:tcMar>
              <w:top w:w="65" w:type="dxa"/>
              <w:left w:w="85" w:type="dxa"/>
              <w:bottom w:w="65" w:type="dxa"/>
              <w:right w:w="85" w:type="dxa"/>
            </w:tcMar>
            <w:vAlign w:val="center"/>
          </w:tcPr>
          <w:p w14:paraId="5CE569D8" w14:textId="77777777" w:rsidR="00B8582D" w:rsidRDefault="00000000">
            <w:pPr>
              <w:pStyle w:val="TableBody"/>
            </w:pPr>
            <w:r>
              <w:t>3 156 372,2</w:t>
            </w:r>
          </w:p>
        </w:tc>
        <w:tc>
          <w:tcPr>
            <w:tcW w:w="3628" w:type="dxa"/>
            <w:shd w:val="clear" w:color="auto" w:fill="FFFFFF"/>
            <w:tcMar>
              <w:top w:w="65" w:type="dxa"/>
              <w:left w:w="85" w:type="dxa"/>
              <w:bottom w:w="65" w:type="dxa"/>
              <w:right w:w="85" w:type="dxa"/>
            </w:tcMar>
            <w:vAlign w:val="center"/>
          </w:tcPr>
          <w:p w14:paraId="681A7AAD" w14:textId="77777777" w:rsidR="00B8582D" w:rsidRDefault="00000000">
            <w:pPr>
              <w:pStyle w:val="TableBody"/>
            </w:pPr>
            <w:r>
              <w:t>14,1%</w:t>
            </w:r>
          </w:p>
        </w:tc>
      </w:tr>
      <w:tr w:rsidR="00B8582D" w14:paraId="7192CE77" w14:textId="77777777">
        <w:trPr>
          <w:cantSplit/>
          <w:jc w:val="center"/>
        </w:trPr>
        <w:tc>
          <w:tcPr>
            <w:tcW w:w="2381" w:type="dxa"/>
            <w:shd w:val="clear" w:color="auto" w:fill="F0F5F7"/>
            <w:tcMar>
              <w:top w:w="65" w:type="dxa"/>
              <w:left w:w="85" w:type="dxa"/>
              <w:bottom w:w="65" w:type="dxa"/>
              <w:right w:w="85" w:type="dxa"/>
            </w:tcMar>
            <w:vAlign w:val="center"/>
          </w:tcPr>
          <w:p w14:paraId="0E2E480B" w14:textId="77777777" w:rsidR="00B8582D" w:rsidRDefault="00000000">
            <w:pPr>
              <w:pStyle w:val="TableBody"/>
            </w:pPr>
            <w:r>
              <w:t>2025</w:t>
            </w:r>
          </w:p>
        </w:tc>
        <w:tc>
          <w:tcPr>
            <w:tcW w:w="3628" w:type="dxa"/>
            <w:shd w:val="clear" w:color="auto" w:fill="F0F5F7"/>
            <w:tcMar>
              <w:top w:w="65" w:type="dxa"/>
              <w:left w:w="85" w:type="dxa"/>
              <w:bottom w:w="65" w:type="dxa"/>
              <w:right w:w="85" w:type="dxa"/>
            </w:tcMar>
            <w:vAlign w:val="center"/>
          </w:tcPr>
          <w:p w14:paraId="208E95A1" w14:textId="77777777" w:rsidR="00B8582D" w:rsidRDefault="00000000">
            <w:pPr>
              <w:pStyle w:val="TableBody"/>
            </w:pPr>
            <w:r>
              <w:t>3 768 821,8</w:t>
            </w:r>
          </w:p>
        </w:tc>
        <w:tc>
          <w:tcPr>
            <w:tcW w:w="3628" w:type="dxa"/>
            <w:shd w:val="clear" w:color="auto" w:fill="F0F5F7"/>
            <w:tcMar>
              <w:top w:w="65" w:type="dxa"/>
              <w:left w:w="85" w:type="dxa"/>
              <w:bottom w:w="65" w:type="dxa"/>
              <w:right w:w="85" w:type="dxa"/>
            </w:tcMar>
            <w:vAlign w:val="center"/>
          </w:tcPr>
          <w:p w14:paraId="190F0DD8" w14:textId="77777777" w:rsidR="00B8582D" w:rsidRDefault="00000000">
            <w:pPr>
              <w:pStyle w:val="TableBody"/>
            </w:pPr>
            <w:r>
              <w:t>14,3%</w:t>
            </w:r>
          </w:p>
        </w:tc>
      </w:tr>
    </w:tbl>
    <w:p w14:paraId="28079182" w14:textId="77777777" w:rsidR="00B8582D" w:rsidRDefault="00B8582D">
      <w:pPr>
        <w:spacing w:after="0" w:line="60" w:lineRule="exact"/>
      </w:pPr>
    </w:p>
    <w:p w14:paraId="2387B46A" w14:textId="77777777" w:rsidR="00DB41C1" w:rsidRDefault="00DB41C1">
      <w:pPr>
        <w:pStyle w:val="21"/>
      </w:pPr>
    </w:p>
    <w:p w14:paraId="4565FFD1" w14:textId="00038EBE" w:rsidR="00B8582D" w:rsidRDefault="00000000">
      <w:pPr>
        <w:pStyle w:val="21"/>
      </w:pPr>
      <w:r>
        <w:t>Расчет по опубликованным значениям</w:t>
      </w:r>
    </w:p>
    <w:p w14:paraId="7513DBB9" w14:textId="77777777" w:rsidR="00B8582D" w:rsidRDefault="00000000">
      <w:r>
        <w:t>Изменение 2025 года к 2024-му: 3 768 821,8 − 3 156 372,2 = 612 449,6 млн тенге. Относительный прирост составляет примерно 19,4%. Доля увеличилась на 0,2 процентного пункта, а не на 19,4 пункта. У показателей разные знаменатели.</w:t>
      </w:r>
    </w:p>
    <w:p w14:paraId="15E15081" w14:textId="77777777" w:rsidR="00B8582D" w:rsidRDefault="00000000">
      <w:r>
        <w:t>Это денежный объем в текущем выражении публикации. По этой таблице нельзя установить, на сколько процентов выросло количество товаров или реальное потребление после учета изменения цен. Также показатель розничного оборота не равен доле граждан, совершавших покупки онлайн.</w:t>
      </w:r>
    </w:p>
    <w:p w14:paraId="7FDA27EC" w14:textId="77777777" w:rsidR="00B8582D" w:rsidRDefault="00000000">
      <w:pPr>
        <w:pStyle w:val="21"/>
      </w:pPr>
      <w:r>
        <w:t>Образец аналитической формулировки</w:t>
      </w:r>
    </w:p>
    <w:p w14:paraId="6F3A7860" w14:textId="77777777" w:rsidR="00B8582D" w:rsidRDefault="00000000">
      <w:r>
        <w:t>«По данным БНС, номинальный объем розничной электронной торговли в 2025 году был примерно на 19,4% выше значения 2024 года. Ее доля в розничном обороте изменилась с 14,1% до 14,3%. Денежную динамику следует отличать от физического объема; сравнение с 2021 годом требует учета расширения охвата ряда».</w:t>
      </w:r>
    </w:p>
    <w:p w14:paraId="3128ED97" w14:textId="77777777" w:rsidR="00B8582D" w:rsidRDefault="00000000">
      <w:r>
        <w:t>Перед переносом данных в диаграмму сохраняют исходные единицы и примечание. Можно перевести миллионы в миллиарды, разделив на тысячу, но необходимо обновить заголовок. Данные здесь относятся к историческим годам, а не к оценке оборота на текущую дату.</w:t>
      </w:r>
    </w:p>
    <w:p w14:paraId="0A2F974B" w14:textId="77777777" w:rsidR="00B8582D" w:rsidRDefault="00000000">
      <w:r>
        <w:br w:type="page"/>
      </w:r>
    </w:p>
    <w:p w14:paraId="5ECBDF20" w14:textId="77777777" w:rsidR="00B8582D" w:rsidRDefault="00000000">
      <w:pPr>
        <w:pStyle w:val="1"/>
      </w:pPr>
      <w:r>
        <w:lastRenderedPageBreak/>
        <w:t>4. Эффект состава: общая доля и группы</w:t>
      </w:r>
    </w:p>
    <w:p w14:paraId="4E3BC862" w14:textId="77777777" w:rsidR="00B8582D" w:rsidRDefault="00000000">
      <w:r>
        <w:t>Все числа ниже вымышлены. Посетители и завершения отнесены к двум непересекающимся каналам внутри каждого периода. Периоды равны по длительности. Таблица показывает наблюдаемое сопоставление, а не эксперимент с каналами.</w:t>
      </w:r>
    </w:p>
    <w:p w14:paraId="17CF0DC2" w14:textId="77777777" w:rsidR="00DB41C1" w:rsidRDefault="00DB41C1"/>
    <w:tbl>
      <w:tblPr>
        <w:tblW w:w="0" w:type="auto"/>
        <w:jc w:val="center"/>
        <w:tblLayout w:type="fixed"/>
        <w:tblLook w:val="04A0" w:firstRow="1" w:lastRow="0" w:firstColumn="1" w:lastColumn="0" w:noHBand="0" w:noVBand="1"/>
      </w:tblPr>
      <w:tblGrid>
        <w:gridCol w:w="2381"/>
        <w:gridCol w:w="3628"/>
        <w:gridCol w:w="3628"/>
      </w:tblGrid>
      <w:tr w:rsidR="00B8582D" w14:paraId="79D71C0A" w14:textId="77777777">
        <w:trPr>
          <w:cantSplit/>
          <w:tblHeader/>
          <w:jc w:val="center"/>
        </w:trPr>
        <w:tc>
          <w:tcPr>
            <w:tcW w:w="2381" w:type="dxa"/>
            <w:shd w:val="clear" w:color="auto" w:fill="173B50"/>
            <w:tcMar>
              <w:top w:w="65" w:type="dxa"/>
              <w:left w:w="85" w:type="dxa"/>
              <w:bottom w:w="65" w:type="dxa"/>
              <w:right w:w="85" w:type="dxa"/>
            </w:tcMar>
            <w:vAlign w:val="center"/>
          </w:tcPr>
          <w:p w14:paraId="668337CF" w14:textId="77777777" w:rsidR="00B8582D" w:rsidRDefault="00000000">
            <w:pPr>
              <w:pStyle w:val="TableBody"/>
            </w:pPr>
            <w:r>
              <w:rPr>
                <w:b/>
                <w:color w:val="FFFFFF"/>
              </w:rPr>
              <w:t>Канал</w:t>
            </w:r>
          </w:p>
        </w:tc>
        <w:tc>
          <w:tcPr>
            <w:tcW w:w="3628" w:type="dxa"/>
            <w:shd w:val="clear" w:color="auto" w:fill="173B50"/>
            <w:tcMar>
              <w:top w:w="65" w:type="dxa"/>
              <w:left w:w="85" w:type="dxa"/>
              <w:bottom w:w="65" w:type="dxa"/>
              <w:right w:w="85" w:type="dxa"/>
            </w:tcMar>
            <w:vAlign w:val="center"/>
          </w:tcPr>
          <w:p w14:paraId="5300E2BB" w14:textId="77777777" w:rsidR="00B8582D" w:rsidRDefault="00000000">
            <w:pPr>
              <w:pStyle w:val="TableBody"/>
            </w:pPr>
            <w:r>
              <w:rPr>
                <w:b/>
                <w:color w:val="FFFFFF"/>
              </w:rPr>
              <w:t>А: завершения / посетители</w:t>
            </w:r>
          </w:p>
        </w:tc>
        <w:tc>
          <w:tcPr>
            <w:tcW w:w="3628" w:type="dxa"/>
            <w:shd w:val="clear" w:color="auto" w:fill="173B50"/>
            <w:tcMar>
              <w:top w:w="65" w:type="dxa"/>
              <w:left w:w="85" w:type="dxa"/>
              <w:bottom w:w="65" w:type="dxa"/>
              <w:right w:w="85" w:type="dxa"/>
            </w:tcMar>
            <w:vAlign w:val="center"/>
          </w:tcPr>
          <w:p w14:paraId="6406F44D" w14:textId="77777777" w:rsidR="00B8582D" w:rsidRDefault="00000000">
            <w:pPr>
              <w:pStyle w:val="TableBody"/>
            </w:pPr>
            <w:r>
              <w:rPr>
                <w:b/>
                <w:color w:val="FFFFFF"/>
              </w:rPr>
              <w:t>Б: завершения / посетители</w:t>
            </w:r>
          </w:p>
        </w:tc>
      </w:tr>
      <w:tr w:rsidR="00B8582D" w14:paraId="7CA98549" w14:textId="77777777">
        <w:trPr>
          <w:cantSplit/>
          <w:jc w:val="center"/>
        </w:trPr>
        <w:tc>
          <w:tcPr>
            <w:tcW w:w="2381" w:type="dxa"/>
            <w:shd w:val="clear" w:color="auto" w:fill="F0F5F7"/>
            <w:tcMar>
              <w:top w:w="65" w:type="dxa"/>
              <w:left w:w="85" w:type="dxa"/>
              <w:bottom w:w="65" w:type="dxa"/>
              <w:right w:w="85" w:type="dxa"/>
            </w:tcMar>
            <w:vAlign w:val="center"/>
          </w:tcPr>
          <w:p w14:paraId="4C5BA551" w14:textId="77777777" w:rsidR="00B8582D" w:rsidRDefault="00000000">
            <w:pPr>
              <w:pStyle w:val="TableBody"/>
            </w:pPr>
            <w:r>
              <w:t>Поиск</w:t>
            </w:r>
          </w:p>
        </w:tc>
        <w:tc>
          <w:tcPr>
            <w:tcW w:w="3628" w:type="dxa"/>
            <w:shd w:val="clear" w:color="auto" w:fill="F0F5F7"/>
            <w:tcMar>
              <w:top w:w="65" w:type="dxa"/>
              <w:left w:w="85" w:type="dxa"/>
              <w:bottom w:w="65" w:type="dxa"/>
              <w:right w:w="85" w:type="dxa"/>
            </w:tcMar>
            <w:vAlign w:val="center"/>
          </w:tcPr>
          <w:p w14:paraId="72E1EDAA" w14:textId="77777777" w:rsidR="00B8582D" w:rsidRDefault="00000000">
            <w:pPr>
              <w:pStyle w:val="TableBody"/>
            </w:pPr>
            <w:r>
              <w:t>64 / 800 = 8,0%</w:t>
            </w:r>
          </w:p>
        </w:tc>
        <w:tc>
          <w:tcPr>
            <w:tcW w:w="3628" w:type="dxa"/>
            <w:shd w:val="clear" w:color="auto" w:fill="F0F5F7"/>
            <w:tcMar>
              <w:top w:w="65" w:type="dxa"/>
              <w:left w:w="85" w:type="dxa"/>
              <w:bottom w:w="65" w:type="dxa"/>
              <w:right w:w="85" w:type="dxa"/>
            </w:tcMar>
            <w:vAlign w:val="center"/>
          </w:tcPr>
          <w:p w14:paraId="60677968" w14:textId="77777777" w:rsidR="00B8582D" w:rsidRDefault="00000000">
            <w:pPr>
              <w:pStyle w:val="TableBody"/>
            </w:pPr>
            <w:r>
              <w:t>45 / 500 = 9,0%</w:t>
            </w:r>
          </w:p>
        </w:tc>
      </w:tr>
      <w:tr w:rsidR="00B8582D" w14:paraId="7FF70E2B" w14:textId="77777777">
        <w:trPr>
          <w:cantSplit/>
          <w:jc w:val="center"/>
        </w:trPr>
        <w:tc>
          <w:tcPr>
            <w:tcW w:w="2381" w:type="dxa"/>
            <w:shd w:val="clear" w:color="auto" w:fill="FFFFFF"/>
            <w:tcMar>
              <w:top w:w="65" w:type="dxa"/>
              <w:left w:w="85" w:type="dxa"/>
              <w:bottom w:w="65" w:type="dxa"/>
              <w:right w:w="85" w:type="dxa"/>
            </w:tcMar>
            <w:vAlign w:val="center"/>
          </w:tcPr>
          <w:p w14:paraId="0E6B410D" w14:textId="77777777" w:rsidR="00B8582D" w:rsidRDefault="00000000">
            <w:pPr>
              <w:pStyle w:val="TableBody"/>
            </w:pPr>
            <w:r>
              <w:t>Сообщество</w:t>
            </w:r>
          </w:p>
        </w:tc>
        <w:tc>
          <w:tcPr>
            <w:tcW w:w="3628" w:type="dxa"/>
            <w:shd w:val="clear" w:color="auto" w:fill="FFFFFF"/>
            <w:tcMar>
              <w:top w:w="65" w:type="dxa"/>
              <w:left w:w="85" w:type="dxa"/>
              <w:bottom w:w="65" w:type="dxa"/>
              <w:right w:w="85" w:type="dxa"/>
            </w:tcMar>
            <w:vAlign w:val="center"/>
          </w:tcPr>
          <w:p w14:paraId="43AB4931" w14:textId="77777777" w:rsidR="00B8582D" w:rsidRDefault="00000000">
            <w:pPr>
              <w:pStyle w:val="TableBody"/>
            </w:pPr>
            <w:r>
              <w:t>8 / 200 = 4,0%</w:t>
            </w:r>
          </w:p>
        </w:tc>
        <w:tc>
          <w:tcPr>
            <w:tcW w:w="3628" w:type="dxa"/>
            <w:shd w:val="clear" w:color="auto" w:fill="FFFFFF"/>
            <w:tcMar>
              <w:top w:w="65" w:type="dxa"/>
              <w:left w:w="85" w:type="dxa"/>
              <w:bottom w:w="65" w:type="dxa"/>
              <w:right w:w="85" w:type="dxa"/>
            </w:tcMar>
            <w:vAlign w:val="center"/>
          </w:tcPr>
          <w:p w14:paraId="1D23C2DB" w14:textId="77777777" w:rsidR="00B8582D" w:rsidRDefault="00000000">
            <w:pPr>
              <w:pStyle w:val="TableBody"/>
            </w:pPr>
            <w:r>
              <w:t>30 / 700 ≈ 4,3%</w:t>
            </w:r>
          </w:p>
        </w:tc>
      </w:tr>
      <w:tr w:rsidR="00B8582D" w14:paraId="72211494" w14:textId="77777777">
        <w:trPr>
          <w:cantSplit/>
          <w:jc w:val="center"/>
        </w:trPr>
        <w:tc>
          <w:tcPr>
            <w:tcW w:w="2381" w:type="dxa"/>
            <w:shd w:val="clear" w:color="auto" w:fill="F0F5F7"/>
            <w:tcMar>
              <w:top w:w="65" w:type="dxa"/>
              <w:left w:w="85" w:type="dxa"/>
              <w:bottom w:w="65" w:type="dxa"/>
              <w:right w:w="85" w:type="dxa"/>
            </w:tcMar>
            <w:vAlign w:val="center"/>
          </w:tcPr>
          <w:p w14:paraId="43E773D1" w14:textId="77777777" w:rsidR="00B8582D" w:rsidRDefault="00000000">
            <w:pPr>
              <w:pStyle w:val="TableBody"/>
            </w:pPr>
            <w:r>
              <w:t>Всего</w:t>
            </w:r>
          </w:p>
        </w:tc>
        <w:tc>
          <w:tcPr>
            <w:tcW w:w="3628" w:type="dxa"/>
            <w:shd w:val="clear" w:color="auto" w:fill="F0F5F7"/>
            <w:tcMar>
              <w:top w:w="65" w:type="dxa"/>
              <w:left w:w="85" w:type="dxa"/>
              <w:bottom w:w="65" w:type="dxa"/>
              <w:right w:w="85" w:type="dxa"/>
            </w:tcMar>
            <w:vAlign w:val="center"/>
          </w:tcPr>
          <w:p w14:paraId="2152FDDB" w14:textId="77777777" w:rsidR="00B8582D" w:rsidRDefault="00000000">
            <w:pPr>
              <w:pStyle w:val="TableBody"/>
            </w:pPr>
            <w:r>
              <w:t>72 / 1 000 = 7,2%</w:t>
            </w:r>
          </w:p>
        </w:tc>
        <w:tc>
          <w:tcPr>
            <w:tcW w:w="3628" w:type="dxa"/>
            <w:shd w:val="clear" w:color="auto" w:fill="F0F5F7"/>
            <w:tcMar>
              <w:top w:w="65" w:type="dxa"/>
              <w:left w:w="85" w:type="dxa"/>
              <w:bottom w:w="65" w:type="dxa"/>
              <w:right w:w="85" w:type="dxa"/>
            </w:tcMar>
            <w:vAlign w:val="center"/>
          </w:tcPr>
          <w:p w14:paraId="07E187BD" w14:textId="77777777" w:rsidR="00B8582D" w:rsidRDefault="00000000">
            <w:pPr>
              <w:pStyle w:val="TableBody"/>
            </w:pPr>
            <w:r>
              <w:t>75 / 1 200 = 6,25%</w:t>
            </w:r>
          </w:p>
        </w:tc>
      </w:tr>
    </w:tbl>
    <w:p w14:paraId="7A1F776F" w14:textId="77777777" w:rsidR="00B8582D" w:rsidRDefault="00B8582D">
      <w:pPr>
        <w:spacing w:after="0" w:line="60" w:lineRule="exact"/>
      </w:pPr>
    </w:p>
    <w:p w14:paraId="6D0CC0A7" w14:textId="77777777" w:rsidR="00DB41C1" w:rsidRDefault="00DB41C1"/>
    <w:p w14:paraId="2435DF54" w14:textId="7D4F7A1E" w:rsidR="00B8582D" w:rsidRDefault="00000000">
      <w:r>
        <w:t>Доля завершений выросла внутри обоих каналов, но снизилась в совокупности. Причина арифметического сочетания — изменение весов: в периоде Б больше посетителей пришло из канала с меньшей наблюдаемой долей. Общий показатель является взвешенным, а не простым средним двух процентов.</w:t>
      </w:r>
    </w:p>
    <w:p w14:paraId="41C552B0" w14:textId="77777777" w:rsidR="00B8582D" w:rsidRDefault="00000000">
      <w:pPr>
        <w:pStyle w:val="21"/>
      </w:pPr>
      <w:r>
        <w:t>Чего это не доказывает</w:t>
      </w:r>
    </w:p>
    <w:p w14:paraId="4A01F41E" w14:textId="77777777" w:rsidR="00B8582D" w:rsidRDefault="00000000">
      <w:r>
        <w:t>Таблица не устанавливает, что сообщество причинно ухудшает результат. Люди могут выбирать разные программы, иметь разные сроки и потребности. Нельзя решить вопрос отключением канала исключительно на основании агрегатов. Нужны затраты, ценность участника, предложения и качество измерения.</w:t>
      </w:r>
    </w:p>
    <w:p w14:paraId="47FEF5FE" w14:textId="77777777" w:rsidR="00B8582D" w:rsidRDefault="00000000">
      <w:r>
        <w:t>Для проверки влияния состава можно рассчитать стандартизованный учебный показатель с одинаковыми весами. При весах периода А, 80% и 20%, значения периода Б дали бы около 8,06%. Это расчет «при заданных весах», а не реально наблюдавшаяся доля центра.</w:t>
      </w:r>
    </w:p>
    <w:p w14:paraId="1B2FFBF9" w14:textId="77777777" w:rsidR="00B8582D" w:rsidRDefault="00000000">
      <w:pPr>
        <w:pStyle w:val="21"/>
      </w:pPr>
      <w:r>
        <w:t>Как написать вывод</w:t>
      </w:r>
    </w:p>
    <w:p w14:paraId="1AE24C1C" w14:textId="77777777" w:rsidR="00B8582D" w:rsidRDefault="00000000">
      <w:r>
        <w:t>«Общая доля завершений снизилась, хотя внутри обоих каналов наблюдалось улучшение. Сопоставление чувствительно к изменению состава посетителей. Прежде чем приписывать снижение качеству сопровождения, необходимо сравнить каналы при одинаковых определениях и проверить различия программ».</w:t>
      </w:r>
    </w:p>
    <w:p w14:paraId="768EA10A" w14:textId="77777777" w:rsidR="00B8582D" w:rsidRDefault="00000000">
      <w:r>
        <w:t>Такой комментарий полезнее единственного обвинительного тезиса. Он показывает, какая дополнительная детализация нужна и почему простая динамика общего процента не дает достаточного причинного объяснения.</w:t>
      </w:r>
    </w:p>
    <w:p w14:paraId="58C4F8CA" w14:textId="77777777" w:rsidR="00B8582D" w:rsidRDefault="00000000">
      <w:r>
        <w:br w:type="page"/>
      </w:r>
    </w:p>
    <w:p w14:paraId="1789367A" w14:textId="77777777" w:rsidR="00B8582D" w:rsidRDefault="00000000">
      <w:pPr>
        <w:pStyle w:val="1"/>
      </w:pPr>
      <w:r>
        <w:lastRenderedPageBreak/>
        <w:t>5. Расчет и интерпретация: редакционный протокол</w:t>
      </w:r>
    </w:p>
    <w:p w14:paraId="05FB98AD" w14:textId="77777777" w:rsidR="00B8582D" w:rsidRDefault="00000000">
      <w:r>
        <w:t>Сначала составьте таблицу с исходными значениями, формулой и единицей. Затем подготовьте один абзац, в котором названы масштаб, направление и ограничение. Десятичная точность выбирается по качеству данных: шесть знаков после запятой не делают небольшой учебный набор надежнее.</w:t>
      </w:r>
    </w:p>
    <w:p w14:paraId="201CDAB9" w14:textId="77777777" w:rsidR="00B8582D" w:rsidRDefault="00000000">
      <w:pPr>
        <w:pStyle w:val="21"/>
      </w:pPr>
      <w:r>
        <w:t>Экономический пример</w:t>
      </w:r>
    </w:p>
    <w:p w14:paraId="0DFFB5B0" w14:textId="77777777" w:rsidR="00B8582D" w:rsidRDefault="00000000">
      <w:r>
        <w:t>У «Линии знаний» расходы на привлечение составили 120 000 и 180 000 тенге, завершения — 72 и 75. Стоимость одного завершения в соответствующих периодах равна приблизительно 1 667 и 2 400 тенге. Это отношение расходов и результатов учета, а не доказанный дополнительный эффект рекламы.</w:t>
      </w:r>
    </w:p>
    <w:p w14:paraId="25E9E98C" w14:textId="77777777" w:rsidR="00B8582D" w:rsidRDefault="00000000">
      <w:r>
        <w:t>При условной цене 8 000 и переменных затратах 3 000 тенге на завершение вклад до расходов привлечения равен 5 000 тенге. После вычета только этих расходов получаем 72 × 5 000 − 120 000 = 240 000 и 75 × 5 000 − 180 000 = 195 000 тенге. Постоянные расходы и иные статьи не включены: называть суммы чистой прибылью нельзя.</w:t>
      </w:r>
    </w:p>
    <w:p w14:paraId="624C914C" w14:textId="77777777" w:rsidR="00DB41C1" w:rsidRDefault="00DB41C1"/>
    <w:tbl>
      <w:tblPr>
        <w:tblW w:w="0" w:type="auto"/>
        <w:jc w:val="center"/>
        <w:tblLayout w:type="fixed"/>
        <w:tblLook w:val="04A0" w:firstRow="1" w:lastRow="0" w:firstColumn="1" w:lastColumn="0" w:noHBand="0" w:noVBand="1"/>
      </w:tblPr>
      <w:tblGrid>
        <w:gridCol w:w="2891"/>
        <w:gridCol w:w="6746"/>
      </w:tblGrid>
      <w:tr w:rsidR="00B8582D" w14:paraId="6F1F8AD9" w14:textId="77777777">
        <w:trPr>
          <w:cantSplit/>
          <w:tblHeader/>
          <w:jc w:val="center"/>
        </w:trPr>
        <w:tc>
          <w:tcPr>
            <w:tcW w:w="2891" w:type="dxa"/>
            <w:shd w:val="clear" w:color="auto" w:fill="173B50"/>
            <w:tcMar>
              <w:top w:w="65" w:type="dxa"/>
              <w:left w:w="85" w:type="dxa"/>
              <w:bottom w:w="65" w:type="dxa"/>
              <w:right w:w="85" w:type="dxa"/>
            </w:tcMar>
            <w:vAlign w:val="center"/>
          </w:tcPr>
          <w:p w14:paraId="19B153B6" w14:textId="77777777" w:rsidR="00B8582D" w:rsidRDefault="00000000">
            <w:pPr>
              <w:pStyle w:val="TableBody"/>
            </w:pPr>
            <w:r>
              <w:rPr>
                <w:b/>
                <w:color w:val="FFFFFF"/>
              </w:rPr>
              <w:t>Ошибка текста</w:t>
            </w:r>
          </w:p>
        </w:tc>
        <w:tc>
          <w:tcPr>
            <w:tcW w:w="6746" w:type="dxa"/>
            <w:shd w:val="clear" w:color="auto" w:fill="173B50"/>
            <w:tcMar>
              <w:top w:w="65" w:type="dxa"/>
              <w:left w:w="85" w:type="dxa"/>
              <w:bottom w:w="65" w:type="dxa"/>
              <w:right w:w="85" w:type="dxa"/>
            </w:tcMar>
            <w:vAlign w:val="center"/>
          </w:tcPr>
          <w:p w14:paraId="42E53B44" w14:textId="77777777" w:rsidR="00B8582D" w:rsidRDefault="00000000">
            <w:pPr>
              <w:pStyle w:val="TableBody"/>
            </w:pPr>
            <w:r>
              <w:rPr>
                <w:b/>
                <w:color w:val="FFFFFF"/>
              </w:rPr>
              <w:t>Исправление</w:t>
            </w:r>
          </w:p>
        </w:tc>
      </w:tr>
      <w:tr w:rsidR="00B8582D" w14:paraId="442F7206" w14:textId="77777777">
        <w:trPr>
          <w:cantSplit/>
          <w:jc w:val="center"/>
        </w:trPr>
        <w:tc>
          <w:tcPr>
            <w:tcW w:w="2891" w:type="dxa"/>
            <w:shd w:val="clear" w:color="auto" w:fill="F0F5F7"/>
            <w:tcMar>
              <w:top w:w="65" w:type="dxa"/>
              <w:left w:w="85" w:type="dxa"/>
              <w:bottom w:w="65" w:type="dxa"/>
              <w:right w:w="85" w:type="dxa"/>
            </w:tcMar>
            <w:vAlign w:val="center"/>
          </w:tcPr>
          <w:p w14:paraId="281E9D4C" w14:textId="77777777" w:rsidR="00B8582D" w:rsidRDefault="00000000">
            <w:pPr>
              <w:pStyle w:val="TableBody"/>
            </w:pPr>
            <w:r>
              <w:t>«Прибыль равна выручке»</w:t>
            </w:r>
          </w:p>
        </w:tc>
        <w:tc>
          <w:tcPr>
            <w:tcW w:w="6746" w:type="dxa"/>
            <w:shd w:val="clear" w:color="auto" w:fill="F0F5F7"/>
            <w:tcMar>
              <w:top w:w="65" w:type="dxa"/>
              <w:left w:w="85" w:type="dxa"/>
              <w:bottom w:w="65" w:type="dxa"/>
              <w:right w:w="85" w:type="dxa"/>
            </w:tcMar>
            <w:vAlign w:val="center"/>
          </w:tcPr>
          <w:p w14:paraId="398526D4" w14:textId="77777777" w:rsidR="00B8582D" w:rsidRDefault="00000000">
            <w:pPr>
              <w:pStyle w:val="TableBody"/>
            </w:pPr>
            <w:r>
              <w:t>Уточнить состав включенных затрат</w:t>
            </w:r>
          </w:p>
        </w:tc>
      </w:tr>
      <w:tr w:rsidR="00B8582D" w14:paraId="18381205" w14:textId="77777777">
        <w:trPr>
          <w:cantSplit/>
          <w:jc w:val="center"/>
        </w:trPr>
        <w:tc>
          <w:tcPr>
            <w:tcW w:w="2891" w:type="dxa"/>
            <w:shd w:val="clear" w:color="auto" w:fill="FFFFFF"/>
            <w:tcMar>
              <w:top w:w="65" w:type="dxa"/>
              <w:left w:w="85" w:type="dxa"/>
              <w:bottom w:w="65" w:type="dxa"/>
              <w:right w:w="85" w:type="dxa"/>
            </w:tcMar>
            <w:vAlign w:val="center"/>
          </w:tcPr>
          <w:p w14:paraId="6B36364E" w14:textId="77777777" w:rsidR="00B8582D" w:rsidRDefault="00000000">
            <w:pPr>
              <w:pStyle w:val="TableBody"/>
            </w:pPr>
            <w:r>
              <w:t>«Рост на 0,2%» при смене доли</w:t>
            </w:r>
          </w:p>
        </w:tc>
        <w:tc>
          <w:tcPr>
            <w:tcW w:w="6746" w:type="dxa"/>
            <w:shd w:val="clear" w:color="auto" w:fill="FFFFFF"/>
            <w:tcMar>
              <w:top w:w="65" w:type="dxa"/>
              <w:left w:w="85" w:type="dxa"/>
              <w:bottom w:w="65" w:type="dxa"/>
              <w:right w:w="85" w:type="dxa"/>
            </w:tcMar>
            <w:vAlign w:val="center"/>
          </w:tcPr>
          <w:p w14:paraId="19CE3E48" w14:textId="77777777" w:rsidR="00B8582D" w:rsidRDefault="00000000">
            <w:pPr>
              <w:pStyle w:val="TableBody"/>
            </w:pPr>
            <w:r>
              <w:t>Назвать процентные пункты</w:t>
            </w:r>
          </w:p>
        </w:tc>
      </w:tr>
      <w:tr w:rsidR="00B8582D" w14:paraId="21DE04B3" w14:textId="77777777">
        <w:trPr>
          <w:cantSplit/>
          <w:jc w:val="center"/>
        </w:trPr>
        <w:tc>
          <w:tcPr>
            <w:tcW w:w="2891" w:type="dxa"/>
            <w:shd w:val="clear" w:color="auto" w:fill="F0F5F7"/>
            <w:tcMar>
              <w:top w:w="65" w:type="dxa"/>
              <w:left w:w="85" w:type="dxa"/>
              <w:bottom w:w="65" w:type="dxa"/>
              <w:right w:w="85" w:type="dxa"/>
            </w:tcMar>
            <w:vAlign w:val="center"/>
          </w:tcPr>
          <w:p w14:paraId="3A1816B2" w14:textId="77777777" w:rsidR="00B8582D" w:rsidRDefault="00000000">
            <w:pPr>
              <w:pStyle w:val="TableBody"/>
            </w:pPr>
            <w:r>
              <w:t>«Все стали покупать чаще»</w:t>
            </w:r>
          </w:p>
        </w:tc>
        <w:tc>
          <w:tcPr>
            <w:tcW w:w="6746" w:type="dxa"/>
            <w:shd w:val="clear" w:color="auto" w:fill="F0F5F7"/>
            <w:tcMar>
              <w:top w:w="65" w:type="dxa"/>
              <w:left w:w="85" w:type="dxa"/>
              <w:bottom w:w="65" w:type="dxa"/>
              <w:right w:w="85" w:type="dxa"/>
            </w:tcMar>
            <w:vAlign w:val="center"/>
          </w:tcPr>
          <w:p w14:paraId="492B6C14" w14:textId="77777777" w:rsidR="00B8582D" w:rsidRDefault="00000000">
            <w:pPr>
              <w:pStyle w:val="TableBody"/>
            </w:pPr>
            <w:r>
              <w:t>Ограничить вывод наблюдаемым агрегатом</w:t>
            </w:r>
          </w:p>
        </w:tc>
      </w:tr>
      <w:tr w:rsidR="00B8582D" w14:paraId="56F920B8" w14:textId="77777777">
        <w:trPr>
          <w:cantSplit/>
          <w:jc w:val="center"/>
        </w:trPr>
        <w:tc>
          <w:tcPr>
            <w:tcW w:w="2891" w:type="dxa"/>
            <w:shd w:val="clear" w:color="auto" w:fill="FFFFFF"/>
            <w:tcMar>
              <w:top w:w="65" w:type="dxa"/>
              <w:left w:w="85" w:type="dxa"/>
              <w:bottom w:w="65" w:type="dxa"/>
              <w:right w:w="85" w:type="dxa"/>
            </w:tcMar>
            <w:vAlign w:val="center"/>
          </w:tcPr>
          <w:p w14:paraId="5D66FACD" w14:textId="77777777" w:rsidR="00B8582D" w:rsidRDefault="00000000">
            <w:pPr>
              <w:pStyle w:val="TableBody"/>
            </w:pPr>
            <w:r>
              <w:t>«Показатель точно улучшился»</w:t>
            </w:r>
          </w:p>
        </w:tc>
        <w:tc>
          <w:tcPr>
            <w:tcW w:w="6746" w:type="dxa"/>
            <w:shd w:val="clear" w:color="auto" w:fill="FFFFFF"/>
            <w:tcMar>
              <w:top w:w="65" w:type="dxa"/>
              <w:left w:w="85" w:type="dxa"/>
              <w:bottom w:w="65" w:type="dxa"/>
              <w:right w:w="85" w:type="dxa"/>
            </w:tcMar>
            <w:vAlign w:val="center"/>
          </w:tcPr>
          <w:p w14:paraId="52B07804" w14:textId="77777777" w:rsidR="00B8582D" w:rsidRDefault="00000000">
            <w:pPr>
              <w:pStyle w:val="TableBody"/>
            </w:pPr>
            <w:r>
              <w:t>Показать базу, период и критерий улучшения</w:t>
            </w:r>
          </w:p>
        </w:tc>
      </w:tr>
    </w:tbl>
    <w:p w14:paraId="2E6928EF" w14:textId="77777777" w:rsidR="00B8582D" w:rsidRDefault="00B8582D">
      <w:pPr>
        <w:spacing w:after="0" w:line="60" w:lineRule="exact"/>
      </w:pPr>
    </w:p>
    <w:p w14:paraId="7130636B" w14:textId="77777777" w:rsidR="00DB41C1" w:rsidRDefault="00DB41C1"/>
    <w:p w14:paraId="1354167E" w14:textId="2E6EF16B" w:rsidR="00B8582D" w:rsidRDefault="00000000">
      <w:r>
        <w:t>Проверяйте, не изменились ли цены и длительность периода. Для сезонного процесса два соседних месяца могут быть несопоставимы. Можно добавить аналогичный период прошлого года, но и это не устраняет все изменения. Важно не искать идеальную магическую базу, а объяснить выбор и ограничения.</w:t>
      </w:r>
    </w:p>
    <w:p w14:paraId="1BEFA60F" w14:textId="77777777" w:rsidR="00B8582D" w:rsidRDefault="00000000">
      <w:r>
        <w:t>В итоговой записке не нужно выводить каждую формулу. Однако читатель должен иметь возможность ее восстановить из приложения. Основной текст обязан сохранить смысл показателя, а не только наиболее выгодный процент.</w:t>
      </w:r>
    </w:p>
    <w:sectPr w:rsidR="00B8582D" w:rsidSect="00034616">
      <w:headerReference w:type="default" r:id="rId8"/>
      <w:footerReference w:type="default" r:id="rId9"/>
      <w:pgSz w:w="11906" w:h="16838"/>
      <w:pgMar w:top="992" w:right="1134" w:bottom="964" w:left="1134" w:header="369" w:footer="36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9532E" w14:textId="77777777" w:rsidR="00A07484" w:rsidRDefault="00A07484">
      <w:pPr>
        <w:spacing w:after="0" w:line="240" w:lineRule="auto"/>
      </w:pPr>
      <w:r>
        <w:separator/>
      </w:r>
    </w:p>
  </w:endnote>
  <w:endnote w:type="continuationSeparator" w:id="0">
    <w:p w14:paraId="50E174E5" w14:textId="77777777" w:rsidR="00A07484" w:rsidRDefault="00A074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5A008" w14:textId="3959AF48" w:rsidR="00B8582D" w:rsidRDefault="00B8582D">
    <w:pPr>
      <w:pStyle w:val="Small"/>
      <w:tabs>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7D51A" w14:textId="77777777" w:rsidR="00A07484" w:rsidRDefault="00A07484">
      <w:pPr>
        <w:spacing w:after="0" w:line="240" w:lineRule="auto"/>
      </w:pPr>
      <w:r>
        <w:separator/>
      </w:r>
    </w:p>
  </w:footnote>
  <w:footnote w:type="continuationSeparator" w:id="0">
    <w:p w14:paraId="59316D92" w14:textId="77777777" w:rsidR="00A07484" w:rsidRDefault="00A074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E5EC2" w14:textId="0C1FC1C7" w:rsidR="00B8582D" w:rsidRDefault="00B8582D">
    <w:pPr>
      <w:pStyle w:val="Small"/>
      <w:pBdr>
        <w:bottom w:val="single" w:sz="4" w:space="0" w:color="BCCDD5"/>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408303180">
    <w:abstractNumId w:val="8"/>
  </w:num>
  <w:num w:numId="2" w16cid:durableId="1290477668">
    <w:abstractNumId w:val="6"/>
  </w:num>
  <w:num w:numId="3" w16cid:durableId="404036914">
    <w:abstractNumId w:val="5"/>
  </w:num>
  <w:num w:numId="4" w16cid:durableId="899828742">
    <w:abstractNumId w:val="4"/>
  </w:num>
  <w:num w:numId="5" w16cid:durableId="1841693752">
    <w:abstractNumId w:val="7"/>
  </w:num>
  <w:num w:numId="6" w16cid:durableId="132870816">
    <w:abstractNumId w:val="3"/>
  </w:num>
  <w:num w:numId="7" w16cid:durableId="323239814">
    <w:abstractNumId w:val="2"/>
  </w:num>
  <w:num w:numId="8" w16cid:durableId="365104255">
    <w:abstractNumId w:val="1"/>
  </w:num>
  <w:num w:numId="9" w16cid:durableId="20949362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A07484"/>
    <w:rsid w:val="00AA1D8D"/>
    <w:rsid w:val="00B47730"/>
    <w:rsid w:val="00B8582D"/>
    <w:rsid w:val="00CB0664"/>
    <w:rsid w:val="00DB41C1"/>
    <w:rsid w:val="00ED22F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E43745"/>
  <w14:defaultImageDpi w14:val="300"/>
  <w15:docId w15:val="{1B336A16-CA2C-404E-B69D-06217AACE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69" w:lineRule="auto"/>
    </w:pPr>
    <w:rPr>
      <w:rFonts w:ascii="Times New Roman" w:eastAsia="Times New Roman" w:hAnsi="Times New Roman" w:cs="Times New Roman"/>
      <w:color w:val="202B32"/>
      <w:sz w:val="25"/>
      <w:lang w:val="ru-RU"/>
    </w:rPr>
  </w:style>
  <w:style w:type="paragraph" w:styleId="1">
    <w:name w:val="heading 1"/>
    <w:basedOn w:val="a1"/>
    <w:next w:val="a1"/>
    <w:link w:val="10"/>
    <w:uiPriority w:val="9"/>
    <w:qFormat/>
    <w:rsid w:val="00FC693F"/>
    <w:pPr>
      <w:keepNext/>
      <w:keepLines/>
      <w:spacing w:before="160"/>
      <w:outlineLvl w:val="0"/>
    </w:pPr>
    <w:rPr>
      <w:rFonts w:asciiTheme="majorHAnsi" w:eastAsiaTheme="majorEastAsia" w:hAnsiTheme="majorHAnsi" w:cstheme="majorBidi"/>
      <w:b/>
      <w:bCs/>
      <w:color w:val="173B50"/>
      <w:sz w:val="32"/>
      <w:szCs w:val="28"/>
    </w:rPr>
  </w:style>
  <w:style w:type="paragraph" w:styleId="21">
    <w:name w:val="heading 2"/>
    <w:basedOn w:val="a1"/>
    <w:next w:val="a1"/>
    <w:link w:val="22"/>
    <w:uiPriority w:val="9"/>
    <w:unhideWhenUsed/>
    <w:qFormat/>
    <w:rsid w:val="00FC693F"/>
    <w:pPr>
      <w:keepNext/>
      <w:keepLines/>
      <w:spacing w:before="160"/>
      <w:outlineLvl w:val="1"/>
    </w:pPr>
    <w:rPr>
      <w:rFonts w:asciiTheme="majorHAnsi" w:eastAsiaTheme="majorEastAsia" w:hAnsiTheme="majorHAnsi" w:cstheme="majorBidi"/>
      <w:b/>
      <w:bCs/>
      <w:color w:val="247178"/>
      <w:szCs w:val="26"/>
    </w:rPr>
  </w:style>
  <w:style w:type="paragraph" w:styleId="31">
    <w:name w:val="heading 3"/>
    <w:basedOn w:val="a1"/>
    <w:next w:val="a1"/>
    <w:link w:val="32"/>
    <w:uiPriority w:val="9"/>
    <w:unhideWhenUsed/>
    <w:qFormat/>
    <w:rsid w:val="00FC693F"/>
    <w:pPr>
      <w:keepNext/>
      <w:keepLines/>
      <w:spacing w:before="160"/>
      <w:outlineLvl w:val="2"/>
    </w:pPr>
    <w:rPr>
      <w:rFonts w:asciiTheme="majorHAnsi" w:eastAsiaTheme="majorEastAsia" w:hAnsiTheme="majorHAnsi" w:cstheme="majorBidi"/>
      <w:b/>
      <w:bCs/>
      <w:color w:val="173B50"/>
      <w:sz w:val="23"/>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before="160" w:line="240" w:lineRule="auto"/>
      <w:contextualSpacing/>
    </w:pPr>
    <w:rPr>
      <w:rFonts w:asciiTheme="majorHAnsi" w:eastAsiaTheme="majorEastAsia" w:hAnsiTheme="majorHAnsi" w:cstheme="majorBidi"/>
      <w:b/>
      <w:color w:val="173B50"/>
      <w:spacing w:val="5"/>
      <w:kern w:val="28"/>
      <w:sz w:val="4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pPr>
      <w:spacing w:after="80" w:line="259" w:lineRule="auto"/>
    </w:pPr>
    <w:rPr>
      <w:rFonts w:ascii="Arial" w:eastAsia="Arial" w:hAnsi="Arial" w:cs="Arial"/>
      <w:color w:val="334D5B"/>
      <w:sz w:val="18"/>
      <w:lang w:val="ru-RU"/>
    </w:rPr>
  </w:style>
  <w:style w:type="paragraph" w:customStyle="1" w:styleId="TableBody">
    <w:name w:val="Table Body"/>
    <w:pPr>
      <w:spacing w:after="80" w:line="259" w:lineRule="auto"/>
    </w:pPr>
    <w:rPr>
      <w:rFonts w:ascii="Arial" w:eastAsia="Arial" w:hAnsi="Arial" w:cs="Arial"/>
      <w:color w:val="334D5B"/>
      <w:sz w:val="20"/>
      <w:lang w:val="ru-RU"/>
    </w:rPr>
  </w:style>
  <w:style w:type="paragraph" w:customStyle="1" w:styleId="Source">
    <w:name w:val="Source"/>
    <w:pPr>
      <w:spacing w:after="80" w:line="259" w:lineRule="auto"/>
    </w:pPr>
    <w:rPr>
      <w:rFonts w:ascii="Arial" w:eastAsia="Arial" w:hAnsi="Arial" w:cs="Arial"/>
      <w:color w:val="334D5B"/>
      <w:sz w:val="18"/>
      <w:lang w:val="ru-RU"/>
    </w:rPr>
  </w:style>
  <w:style w:type="paragraph" w:customStyle="1" w:styleId="Callout">
    <w:name w:val="Callout"/>
    <w:pPr>
      <w:spacing w:after="80" w:line="259" w:lineRule="auto"/>
    </w:pPr>
    <w:rPr>
      <w:rFonts w:ascii="Arial" w:eastAsia="Arial" w:hAnsi="Arial" w:cs="Arial"/>
      <w:color w:val="334D5B"/>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1273</Words>
  <Characters>7257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8513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Навыки создания аналитических материалов. Лекция 5</dc:title>
  <dc:subject>Учебный материал для бакалавриата</dc:subject>
  <dc:creator/>
  <cp:keywords>аналитика, источники, отчет, аргументация, дистанционное обучение</cp:keywords>
  <dc:description>generated by python-docx</dc:description>
  <cp:lastModifiedBy>Mikhail Sizov</cp:lastModifiedBy>
  <cp:revision>3</cp:revision>
  <dcterms:created xsi:type="dcterms:W3CDTF">2013-12-23T23:15:00Z</dcterms:created>
  <dcterms:modified xsi:type="dcterms:W3CDTF">2026-10-07T18:45:00Z</dcterms:modified>
  <cp:category/>
</cp:coreProperties>
</file>