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7CA64" w14:textId="77777777" w:rsidR="00D665D7" w:rsidRDefault="00000000">
      <w:pPr>
        <w:pStyle w:val="aa"/>
      </w:pPr>
      <w:r>
        <w:t>Постановка аналитической задачи, декомпозиция и план исследования</w:t>
      </w:r>
    </w:p>
    <w:p w14:paraId="6C37D85B" w14:textId="77777777" w:rsidR="00D665D7" w:rsidRDefault="00000000">
      <w:pPr>
        <w:pStyle w:val="1"/>
      </w:pPr>
      <w:r>
        <w:t>1. Уточнение задачи через будущий выбор</w:t>
      </w:r>
    </w:p>
    <w:p w14:paraId="357412DF" w14:textId="77777777" w:rsidR="00D665D7" w:rsidRDefault="00000000">
      <w:r>
        <w:t>Бриф фиксирует объект, решение, аудиторию, период, ресурсы и результат. Запись «повысить эффективность» заменяется вопросом, ответ на который действительно изменит действие: «Следует ли в следующем месяце направить ограниченный ресурс на привлечение новых посетителей или на сопровождение уже поступивших заявок?»</w:t>
      </w:r>
    </w:p>
    <w:p w14:paraId="4104B992" w14:textId="77777777" w:rsidR="00D665D7" w:rsidRDefault="00000000">
      <w:r>
        <w:t>Проблема описывает нежелательное расхождение между фактическим и требуемым состоянием. Симптом — наблюдаемый сигнал. Гипотеза причины — проверяемое объяснение. «Участников мало» не равно «менеджеры плохо отвечают»: первое требует критерия достаточности, второе — свидетельств о процессе ответа.</w:t>
      </w:r>
    </w:p>
    <w:p w14:paraId="2EB78AF8" w14:textId="77777777" w:rsidR="00713411" w:rsidRDefault="00713411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3628"/>
        <w:gridCol w:w="3628"/>
      </w:tblGrid>
      <w:tr w:rsidR="00D665D7" w14:paraId="024ED7C1" w14:textId="77777777">
        <w:trPr>
          <w:cantSplit/>
          <w:tblHeader/>
          <w:jc w:val="center"/>
        </w:trPr>
        <w:tc>
          <w:tcPr>
            <w:tcW w:w="2381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D4FF798" w14:textId="77777777" w:rsidR="00D665D7" w:rsidRDefault="00000000">
            <w:pPr>
              <w:pStyle w:val="TableBody"/>
            </w:pPr>
            <w:r>
              <w:rPr>
                <w:b/>
                <w:color w:val="FFFFFF"/>
              </w:rPr>
              <w:t>Уровень</w:t>
            </w:r>
          </w:p>
        </w:tc>
        <w:tc>
          <w:tcPr>
            <w:tcW w:w="3628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DA6F17" w14:textId="77777777" w:rsidR="00D665D7" w:rsidRDefault="00000000">
            <w:pPr>
              <w:pStyle w:val="TableBody"/>
            </w:pPr>
            <w:r>
              <w:rPr>
                <w:b/>
                <w:color w:val="FFFFFF"/>
              </w:rPr>
              <w:t>Пример</w:t>
            </w:r>
          </w:p>
        </w:tc>
        <w:tc>
          <w:tcPr>
            <w:tcW w:w="3628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E49C58" w14:textId="77777777" w:rsidR="00D665D7" w:rsidRDefault="00000000">
            <w:pPr>
              <w:pStyle w:val="TableBody"/>
            </w:pPr>
            <w:r>
              <w:rPr>
                <w:b/>
                <w:color w:val="FFFFFF"/>
              </w:rPr>
              <w:t>Что проверить</w:t>
            </w:r>
          </w:p>
        </w:tc>
      </w:tr>
      <w:tr w:rsidR="00D665D7" w14:paraId="752C9825" w14:textId="77777777">
        <w:trPr>
          <w:cantSplit/>
          <w:jc w:val="center"/>
        </w:trPr>
        <w:tc>
          <w:tcPr>
            <w:tcW w:w="238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B7BD4A" w14:textId="77777777" w:rsidR="00D665D7" w:rsidRDefault="00000000">
            <w:pPr>
              <w:pStyle w:val="TableBody"/>
            </w:pPr>
            <w:r>
              <w:t>Симптом</w:t>
            </w:r>
          </w:p>
        </w:tc>
        <w:tc>
          <w:tcPr>
            <w:tcW w:w="362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E57FE0" w14:textId="77777777" w:rsidR="00D665D7" w:rsidRDefault="00000000">
            <w:pPr>
              <w:pStyle w:val="TableBody"/>
            </w:pPr>
            <w:r>
              <w:t>Завершения почти не растут</w:t>
            </w:r>
          </w:p>
        </w:tc>
        <w:tc>
          <w:tcPr>
            <w:tcW w:w="362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678380" w14:textId="77777777" w:rsidR="00D665D7" w:rsidRDefault="00000000">
            <w:pPr>
              <w:pStyle w:val="TableBody"/>
            </w:pPr>
            <w:r>
              <w:t>Полноту учета и период</w:t>
            </w:r>
          </w:p>
        </w:tc>
      </w:tr>
      <w:tr w:rsidR="00D665D7" w14:paraId="5C7A7615" w14:textId="77777777">
        <w:trPr>
          <w:cantSplit/>
          <w:jc w:val="center"/>
        </w:trPr>
        <w:tc>
          <w:tcPr>
            <w:tcW w:w="238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AD5AAB1" w14:textId="77777777" w:rsidR="00D665D7" w:rsidRDefault="00000000">
            <w:pPr>
              <w:pStyle w:val="TableBody"/>
            </w:pPr>
            <w:r>
              <w:t>Проблема</w:t>
            </w:r>
          </w:p>
        </w:tc>
        <w:tc>
          <w:tcPr>
            <w:tcW w:w="36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2022DD5" w14:textId="77777777" w:rsidR="00D665D7" w:rsidRDefault="00000000">
            <w:pPr>
              <w:pStyle w:val="TableBody"/>
            </w:pPr>
            <w:r>
              <w:t>Недостаточна загрузка доступных мест</w:t>
            </w:r>
          </w:p>
        </w:tc>
        <w:tc>
          <w:tcPr>
            <w:tcW w:w="36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A4FC94" w14:textId="77777777" w:rsidR="00D665D7" w:rsidRDefault="00000000">
            <w:pPr>
              <w:pStyle w:val="TableBody"/>
            </w:pPr>
            <w:r>
              <w:t>Число реально доступных мест</w:t>
            </w:r>
          </w:p>
        </w:tc>
      </w:tr>
      <w:tr w:rsidR="00D665D7" w14:paraId="7BA2E41A" w14:textId="77777777">
        <w:trPr>
          <w:cantSplit/>
          <w:jc w:val="center"/>
        </w:trPr>
        <w:tc>
          <w:tcPr>
            <w:tcW w:w="238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10FCF0" w14:textId="77777777" w:rsidR="00D665D7" w:rsidRDefault="00000000">
            <w:pPr>
              <w:pStyle w:val="TableBody"/>
            </w:pPr>
            <w:r>
              <w:t>Гипотеза</w:t>
            </w:r>
          </w:p>
        </w:tc>
        <w:tc>
          <w:tcPr>
            <w:tcW w:w="362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C45FF2" w14:textId="77777777" w:rsidR="00D665D7" w:rsidRDefault="00000000">
            <w:pPr>
              <w:pStyle w:val="TableBody"/>
            </w:pPr>
            <w:r>
              <w:t>Условия участия трудно понять</w:t>
            </w:r>
          </w:p>
        </w:tc>
        <w:tc>
          <w:tcPr>
            <w:tcW w:w="362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A1C22B" w14:textId="77777777" w:rsidR="00D665D7" w:rsidRDefault="00000000">
            <w:pPr>
              <w:pStyle w:val="TableBody"/>
            </w:pPr>
            <w:r>
              <w:t>Наблюдение и содержание сообщений</w:t>
            </w:r>
          </w:p>
        </w:tc>
      </w:tr>
      <w:tr w:rsidR="00D665D7" w14:paraId="0CA87DD9" w14:textId="77777777">
        <w:trPr>
          <w:cantSplit/>
          <w:jc w:val="center"/>
        </w:trPr>
        <w:tc>
          <w:tcPr>
            <w:tcW w:w="238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315BCA5" w14:textId="77777777" w:rsidR="00D665D7" w:rsidRDefault="00000000">
            <w:pPr>
              <w:pStyle w:val="TableBody"/>
            </w:pPr>
            <w:r>
              <w:t>Альтернатива</w:t>
            </w:r>
          </w:p>
        </w:tc>
        <w:tc>
          <w:tcPr>
            <w:tcW w:w="36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F2E1E0" w14:textId="77777777" w:rsidR="00D665D7" w:rsidRDefault="00000000">
            <w:pPr>
              <w:pStyle w:val="TableBody"/>
            </w:pPr>
            <w:r>
              <w:t>Расписание не подходит аудитории</w:t>
            </w:r>
          </w:p>
        </w:tc>
        <w:tc>
          <w:tcPr>
            <w:tcW w:w="36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7D049B4" w14:textId="77777777" w:rsidR="00D665D7" w:rsidRDefault="00000000">
            <w:pPr>
              <w:pStyle w:val="TableBody"/>
            </w:pPr>
            <w:r>
              <w:t>Причины отказов и варианты времени</w:t>
            </w:r>
          </w:p>
        </w:tc>
      </w:tr>
    </w:tbl>
    <w:p w14:paraId="36F0A042" w14:textId="77777777" w:rsidR="00D665D7" w:rsidRDefault="00D665D7">
      <w:pPr>
        <w:spacing w:after="0" w:line="60" w:lineRule="exact"/>
      </w:pPr>
    </w:p>
    <w:p w14:paraId="0A641AAF" w14:textId="77777777" w:rsidR="00713411" w:rsidRDefault="00713411">
      <w:pPr>
        <w:pStyle w:val="21"/>
      </w:pPr>
    </w:p>
    <w:p w14:paraId="4840E72E" w14:textId="525B0F3B" w:rsidR="00D665D7" w:rsidRDefault="00000000">
      <w:pPr>
        <w:pStyle w:val="21"/>
      </w:pPr>
      <w:proofErr w:type="spellStart"/>
      <w:r>
        <w:t>Операционализация</w:t>
      </w:r>
      <w:proofErr w:type="spellEnd"/>
      <w:r>
        <w:t xml:space="preserve"> вопроса</w:t>
      </w:r>
    </w:p>
    <w:p w14:paraId="7CF1BC6E" w14:textId="77777777" w:rsidR="00D665D7" w:rsidRDefault="00000000">
      <w:r>
        <w:t>«Понятность» нужно перевести в наблюдаемый признак: правильно ли участник объясняет цену и статус заявки. «Своевременность» — в интервал между обращением и содержательным ответом. Число автоматических уведомлений не является готовой мерой качества сопровождения.</w:t>
      </w:r>
    </w:p>
    <w:p w14:paraId="60D6B74D" w14:textId="77777777" w:rsidR="00D665D7" w:rsidRDefault="00000000">
      <w:r>
        <w:t>Уточните единицу анализа: человек, заявка, занятие, посещение страницы или программа. Один человек может подать несколько заявок. Смешение единиц создает иллюзию роста и мешает рассчитать переходы. Период также должен учитывать задержку: заявка последнего дня может завершиться уже в следующем месяце.</w:t>
      </w:r>
    </w:p>
    <w:p w14:paraId="2843022E" w14:textId="77777777" w:rsidR="00D665D7" w:rsidRDefault="00000000">
      <w:r>
        <w:t>В конце первичного разговора полезно повторить заказчику согласованный вопрос своими словами и назвать исключения. Например, работа оценивает путь заявки, но не профессиональный уровень преподавателей. Такая запись предотвращает незаметное расширение задачи после получения результата.</w:t>
      </w:r>
    </w:p>
    <w:p w14:paraId="2DB76632" w14:textId="77777777" w:rsidR="00D665D7" w:rsidRDefault="00000000">
      <w:r>
        <w:br w:type="page"/>
      </w:r>
    </w:p>
    <w:p w14:paraId="6FD84A94" w14:textId="77777777" w:rsidR="00D665D7" w:rsidRDefault="00000000">
      <w:pPr>
        <w:pStyle w:val="1"/>
      </w:pPr>
      <w:r>
        <w:lastRenderedPageBreak/>
        <w:t>2. Декомпозиция и проверяемые гипотезы</w:t>
      </w:r>
    </w:p>
    <w:p w14:paraId="57B1F55E" w14:textId="77777777" w:rsidR="00D665D7" w:rsidRDefault="00000000">
      <w:r>
        <w:t>Дерево вопросов связывает основной запрос с несколькими ветвями. Для «Линии знаний» ими могут стать входящий поток, переходы между этапами, ограничения вместимости и экономика. У каждой ветви нужен собственный показатель и источник. Деление не обязано быть идеально симметричным: важнее не пропустить существенный механизм.</w:t>
      </w:r>
    </w:p>
    <w:p w14:paraId="611EFCAD" w14:textId="77777777" w:rsidR="00D665D7" w:rsidRDefault="00000000">
      <w:r>
        <w:t>Декомпозиция не должна повторять организационную структуру. «Маркетинг — продажи — преподаватели» называет подразделения, но не объясняет проблему. «Кто приходит — что мешает подтвердить участие — кто фактически завершает» ближе к исследуемому пути и допускает взаимодействие разных служб.</w:t>
      </w:r>
    </w:p>
    <w:p w14:paraId="3841C3D5" w14:textId="77777777" w:rsidR="00713411" w:rsidRDefault="00713411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3628"/>
        <w:gridCol w:w="3628"/>
      </w:tblGrid>
      <w:tr w:rsidR="00D665D7" w14:paraId="3DB2F5AF" w14:textId="77777777">
        <w:trPr>
          <w:cantSplit/>
          <w:tblHeader/>
          <w:jc w:val="center"/>
        </w:trPr>
        <w:tc>
          <w:tcPr>
            <w:tcW w:w="2381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D05767" w14:textId="77777777" w:rsidR="00D665D7" w:rsidRDefault="00000000">
            <w:pPr>
              <w:pStyle w:val="TableBody"/>
            </w:pPr>
            <w:r>
              <w:rPr>
                <w:b/>
                <w:color w:val="FFFFFF"/>
              </w:rPr>
              <w:t>Гипотеза</w:t>
            </w:r>
          </w:p>
        </w:tc>
        <w:tc>
          <w:tcPr>
            <w:tcW w:w="3628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B61376" w14:textId="77777777" w:rsidR="00D665D7" w:rsidRDefault="00000000">
            <w:pPr>
              <w:pStyle w:val="TableBody"/>
            </w:pPr>
            <w:r>
              <w:rPr>
                <w:b/>
                <w:color w:val="FFFFFF"/>
              </w:rPr>
              <w:t>Наблюдение в ее поддержку</w:t>
            </w:r>
          </w:p>
        </w:tc>
        <w:tc>
          <w:tcPr>
            <w:tcW w:w="3628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15783F" w14:textId="77777777" w:rsidR="00D665D7" w:rsidRDefault="00000000">
            <w:pPr>
              <w:pStyle w:val="TableBody"/>
            </w:pPr>
            <w:r>
              <w:rPr>
                <w:b/>
                <w:color w:val="FFFFFF"/>
              </w:rPr>
              <w:t>Возможное опровержение</w:t>
            </w:r>
          </w:p>
        </w:tc>
      </w:tr>
      <w:tr w:rsidR="00D665D7" w14:paraId="29CD16E8" w14:textId="77777777">
        <w:trPr>
          <w:cantSplit/>
          <w:jc w:val="center"/>
        </w:trPr>
        <w:tc>
          <w:tcPr>
            <w:tcW w:w="238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880A87" w14:textId="77777777" w:rsidR="00D665D7" w:rsidRDefault="00000000">
            <w:pPr>
              <w:pStyle w:val="TableBody"/>
            </w:pPr>
            <w:r>
              <w:t>Пришли менее подходящие посетители</w:t>
            </w:r>
          </w:p>
        </w:tc>
        <w:tc>
          <w:tcPr>
            <w:tcW w:w="362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F088941" w14:textId="77777777" w:rsidR="00D665D7" w:rsidRDefault="00000000">
            <w:pPr>
              <w:pStyle w:val="TableBody"/>
            </w:pPr>
            <w:r>
              <w:t>Меняется состав задач и каналов</w:t>
            </w:r>
          </w:p>
        </w:tc>
        <w:tc>
          <w:tcPr>
            <w:tcW w:w="362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863C89" w14:textId="77777777" w:rsidR="00D665D7" w:rsidRDefault="00000000">
            <w:pPr>
              <w:pStyle w:val="TableBody"/>
            </w:pPr>
            <w:r>
              <w:t>Состав устойчив, переходы одинаковы</w:t>
            </w:r>
          </w:p>
        </w:tc>
      </w:tr>
      <w:tr w:rsidR="00D665D7" w14:paraId="17516641" w14:textId="77777777">
        <w:trPr>
          <w:cantSplit/>
          <w:jc w:val="center"/>
        </w:trPr>
        <w:tc>
          <w:tcPr>
            <w:tcW w:w="238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F49288" w14:textId="77777777" w:rsidR="00D665D7" w:rsidRDefault="00000000">
            <w:pPr>
              <w:pStyle w:val="TableBody"/>
            </w:pPr>
            <w:r>
              <w:t>Не хватает удобных сеансов</w:t>
            </w:r>
          </w:p>
        </w:tc>
        <w:tc>
          <w:tcPr>
            <w:tcW w:w="36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0A6337D" w14:textId="77777777" w:rsidR="00D665D7" w:rsidRDefault="00000000">
            <w:pPr>
              <w:pStyle w:val="TableBody"/>
            </w:pPr>
            <w:r>
              <w:t>Отказы связаны с датой и местами</w:t>
            </w:r>
          </w:p>
        </w:tc>
        <w:tc>
          <w:tcPr>
            <w:tcW w:w="36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3121235" w14:textId="77777777" w:rsidR="00D665D7" w:rsidRDefault="00000000">
            <w:pPr>
              <w:pStyle w:val="TableBody"/>
            </w:pPr>
            <w:r>
              <w:t>Подходящие места доступны</w:t>
            </w:r>
          </w:p>
        </w:tc>
      </w:tr>
      <w:tr w:rsidR="00D665D7" w14:paraId="3FD816CB" w14:textId="77777777">
        <w:trPr>
          <w:cantSplit/>
          <w:jc w:val="center"/>
        </w:trPr>
        <w:tc>
          <w:tcPr>
            <w:tcW w:w="238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CC8DC7" w14:textId="77777777" w:rsidR="00D665D7" w:rsidRDefault="00000000">
            <w:pPr>
              <w:pStyle w:val="TableBody"/>
            </w:pPr>
            <w:r>
              <w:t>Ответ запаздывает</w:t>
            </w:r>
          </w:p>
        </w:tc>
        <w:tc>
          <w:tcPr>
            <w:tcW w:w="362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A67CDAE" w14:textId="77777777" w:rsidR="00D665D7" w:rsidRDefault="00000000">
            <w:pPr>
              <w:pStyle w:val="TableBody"/>
            </w:pPr>
            <w:r>
              <w:t>Сопоставимые обращения теряются при задержке</w:t>
            </w:r>
          </w:p>
        </w:tc>
        <w:tc>
          <w:tcPr>
            <w:tcW w:w="362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4A6382" w14:textId="77777777" w:rsidR="00D665D7" w:rsidRDefault="00000000">
            <w:pPr>
              <w:pStyle w:val="TableBody"/>
            </w:pPr>
            <w:r>
              <w:t>Задержка не связана с потерей</w:t>
            </w:r>
          </w:p>
        </w:tc>
      </w:tr>
      <w:tr w:rsidR="00D665D7" w14:paraId="006F184D" w14:textId="77777777">
        <w:trPr>
          <w:cantSplit/>
          <w:jc w:val="center"/>
        </w:trPr>
        <w:tc>
          <w:tcPr>
            <w:tcW w:w="238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EF35CC" w14:textId="77777777" w:rsidR="00D665D7" w:rsidRDefault="00000000">
            <w:pPr>
              <w:pStyle w:val="TableBody"/>
            </w:pPr>
            <w:r>
              <w:t>Ошибка учета</w:t>
            </w:r>
          </w:p>
        </w:tc>
        <w:tc>
          <w:tcPr>
            <w:tcW w:w="36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EFBAF5" w14:textId="77777777" w:rsidR="00D665D7" w:rsidRDefault="00000000">
            <w:pPr>
              <w:pStyle w:val="TableBody"/>
            </w:pPr>
            <w:r>
              <w:t>Статусы расходятся с журналом занятий</w:t>
            </w:r>
          </w:p>
        </w:tc>
        <w:tc>
          <w:tcPr>
            <w:tcW w:w="36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E43FC3" w14:textId="77777777" w:rsidR="00D665D7" w:rsidRDefault="00000000">
            <w:pPr>
              <w:pStyle w:val="TableBody"/>
            </w:pPr>
            <w:r>
              <w:t>Сверка подтверждает полноту</w:t>
            </w:r>
          </w:p>
        </w:tc>
      </w:tr>
    </w:tbl>
    <w:p w14:paraId="4103EA22" w14:textId="77777777" w:rsidR="00D665D7" w:rsidRDefault="00D665D7">
      <w:pPr>
        <w:spacing w:after="0" w:line="60" w:lineRule="exact"/>
      </w:pPr>
    </w:p>
    <w:p w14:paraId="5202669D" w14:textId="77777777" w:rsidR="00713411" w:rsidRDefault="00713411"/>
    <w:p w14:paraId="4E3A01FA" w14:textId="4E028703" w:rsidR="00D665D7" w:rsidRDefault="00000000">
      <w:r>
        <w:t>Заранее записанное возможное опровержение защищает от поиска только удобных фактов. Однако отсутствие ожидаемого признака не всегда исключает гипотезу: данные могли быть неполными. Тогда меняется степень уверенности, а не автоматически выбирается противоположное объяснение.</w:t>
      </w:r>
    </w:p>
    <w:p w14:paraId="226AC125" w14:textId="77777777" w:rsidR="00D665D7" w:rsidRDefault="00000000">
      <w:pPr>
        <w:pStyle w:val="21"/>
      </w:pPr>
      <w:r>
        <w:t>Приоритет вопросов</w:t>
      </w:r>
    </w:p>
    <w:p w14:paraId="74805C70" w14:textId="77777777" w:rsidR="00D665D7" w:rsidRDefault="00000000">
      <w:r>
        <w:t>Сначала проверяют сведения, способные быстро изменить решение: действительно ли есть свободные места, сопоставимы ли периоды, не изменились ли определения. Дорогой опрос может быть преждевременным, если проблема уже объясняется неверной выгрузкой.</w:t>
      </w:r>
    </w:p>
    <w:p w14:paraId="7B673722" w14:textId="77777777" w:rsidR="00D665D7" w:rsidRDefault="00000000">
      <w:r>
        <w:t>Разделяйте вопрос, метод и действие. «Провести интервью» — метод, «добавить напоминания» — мера, «почему подтвержденные участники не приходят» — вопрос. В плане должны присутствовать все три уровня с понятными связями. Перечень методов без вопросов превращается в сбор материалов ради самого сбора.</w:t>
      </w:r>
    </w:p>
    <w:p w14:paraId="41BB1CB2" w14:textId="77777777" w:rsidR="00D665D7" w:rsidRDefault="00000000">
      <w:r>
        <w:br w:type="page"/>
      </w:r>
    </w:p>
    <w:p w14:paraId="4248B08E" w14:textId="77777777" w:rsidR="00D665D7" w:rsidRDefault="00000000">
      <w:pPr>
        <w:pStyle w:val="1"/>
      </w:pPr>
      <w:r>
        <w:lastRenderedPageBreak/>
        <w:t>3. Реальный кейс: письма о налоговой задолженности</w:t>
      </w:r>
    </w:p>
    <w:p w14:paraId="79AA13E5" w14:textId="77777777" w:rsidR="00D665D7" w:rsidRDefault="00000000">
      <w:r>
        <w:t>В отчете британского Cabinet Office 2012 года описаны испытания писем налогоплательщикам [1, с. 23]. В Trial 1a сравнивались варианты, отличавшиеся не только сообщением о социальной норме. В последующем Trial 1b авторы отдельно проверяли локализованную норму в остальном одинаковых письмах; в публикации приведены предварительные показатели погашения 38,7% и 45,5%. Это разные испытания, их результаты нельзя объединять в один эксперимент.</w:t>
      </w:r>
    </w:p>
    <w:p w14:paraId="0CCA3001" w14:textId="77777777" w:rsidR="00D665D7" w:rsidRDefault="00000000">
      <w:pPr>
        <w:pStyle w:val="21"/>
      </w:pPr>
      <w:r>
        <w:t>Уточнение исследовательского вопроса</w:t>
      </w:r>
    </w:p>
    <w:p w14:paraId="43A05AEC" w14:textId="77777777" w:rsidR="00D665D7" w:rsidRDefault="00000000">
      <w:r>
        <w:t>В первом случае вопрос шире: какой комплект изменений связан с лучшим результатом? Во втором — что меняет один выделенный элемент при сохранении остальных? Такое уточнение влияет на конструкцию сравнения и силу объяснения. Сходство названия программы не означает одинаковый дизайн всех ее испытаний.</w:t>
      </w:r>
    </w:p>
    <w:p w14:paraId="23115F50" w14:textId="77777777" w:rsidR="00713411" w:rsidRDefault="00713411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746"/>
      </w:tblGrid>
      <w:tr w:rsidR="00D665D7" w14:paraId="422B131B" w14:textId="77777777">
        <w:trPr>
          <w:cantSplit/>
          <w:tblHeader/>
          <w:jc w:val="center"/>
        </w:trPr>
        <w:tc>
          <w:tcPr>
            <w:tcW w:w="2891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9CCF14A" w14:textId="77777777" w:rsidR="00D665D7" w:rsidRDefault="00000000">
            <w:pPr>
              <w:pStyle w:val="TableBody"/>
            </w:pPr>
            <w:r>
              <w:rPr>
                <w:b/>
                <w:color w:val="FFFFFF"/>
              </w:rPr>
              <w:t>Элемент анализа</w:t>
            </w:r>
          </w:p>
        </w:tc>
        <w:tc>
          <w:tcPr>
            <w:tcW w:w="6746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65190C1" w14:textId="77777777" w:rsidR="00D665D7" w:rsidRDefault="00000000">
            <w:pPr>
              <w:pStyle w:val="TableBody"/>
            </w:pPr>
            <w:r>
              <w:rPr>
                <w:b/>
                <w:color w:val="FFFFFF"/>
              </w:rPr>
              <w:t>Осторожная формулировка</w:t>
            </w:r>
          </w:p>
        </w:tc>
      </w:tr>
      <w:tr w:rsidR="00D665D7" w14:paraId="54F361A9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88C83B" w14:textId="77777777" w:rsidR="00D665D7" w:rsidRDefault="00000000">
            <w:pPr>
              <w:pStyle w:val="TableBody"/>
            </w:pPr>
            <w:r>
              <w:t>Вопрос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76359B" w14:textId="77777777" w:rsidR="00D665D7" w:rsidRDefault="00000000">
            <w:pPr>
              <w:pStyle w:val="TableBody"/>
            </w:pPr>
            <w:r>
              <w:t>Отличаются ли результаты конкретных вариантов письма?</w:t>
            </w:r>
          </w:p>
        </w:tc>
      </w:tr>
      <w:tr w:rsidR="00D665D7" w14:paraId="368DE735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F66EE2" w14:textId="77777777" w:rsidR="00D665D7" w:rsidRDefault="00000000">
            <w:pPr>
              <w:pStyle w:val="TableBody"/>
            </w:pPr>
            <w:r>
              <w:t>Показатель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088973" w14:textId="77777777" w:rsidR="00D665D7" w:rsidRDefault="00000000">
            <w:pPr>
              <w:pStyle w:val="TableBody"/>
            </w:pPr>
            <w:r>
              <w:t>Именно тот результат, который определен в описании испытания</w:t>
            </w:r>
          </w:p>
        </w:tc>
      </w:tr>
      <w:tr w:rsidR="00D665D7" w14:paraId="7C0C92D3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EB9B57" w14:textId="77777777" w:rsidR="00D665D7" w:rsidRDefault="00000000">
            <w:pPr>
              <w:pStyle w:val="TableBody"/>
            </w:pPr>
            <w:r>
              <w:t>Расчет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B3568F" w14:textId="77777777" w:rsidR="00D665D7" w:rsidRDefault="00000000">
            <w:pPr>
              <w:pStyle w:val="TableBody"/>
            </w:pPr>
            <w:r>
              <w:t>45,5 − 38,7 = 6,8 процентного пункта</w:t>
            </w:r>
          </w:p>
        </w:tc>
      </w:tr>
      <w:tr w:rsidR="00D665D7" w14:paraId="74977596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6991A1" w14:textId="77777777" w:rsidR="00D665D7" w:rsidRDefault="00000000">
            <w:pPr>
              <w:pStyle w:val="TableBody"/>
            </w:pPr>
            <w:r>
              <w:t>Ограничение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049366" w14:textId="77777777" w:rsidR="00D665D7" w:rsidRDefault="00000000">
            <w:pPr>
              <w:pStyle w:val="TableBody"/>
            </w:pPr>
            <w:r>
              <w:t>Исторический контекст, предварительный статус и конкретная аудитория</w:t>
            </w:r>
          </w:p>
        </w:tc>
      </w:tr>
    </w:tbl>
    <w:p w14:paraId="7186EAE8" w14:textId="77777777" w:rsidR="00D665D7" w:rsidRDefault="00D665D7">
      <w:pPr>
        <w:spacing w:after="0" w:line="60" w:lineRule="exact"/>
      </w:pPr>
    </w:p>
    <w:p w14:paraId="5D83BE53" w14:textId="77777777" w:rsidR="00713411" w:rsidRDefault="00713411"/>
    <w:p w14:paraId="5FEECA61" w14:textId="6C824AFD" w:rsidR="00D665D7" w:rsidRDefault="00000000">
      <w:r>
        <w:t>Разница 6,8 процентного пункта не равна росту на 6,8%. Относительное изменение использует другую базу. Но на этой неделе важнее еще один вопрос: какая именно мера результата сравнивается? Доля ответивших на письмо и доля погасивших задолженность не взаимозаменяемы.</w:t>
      </w:r>
    </w:p>
    <w:p w14:paraId="66D6CE11" w14:textId="77777777" w:rsidR="00D665D7" w:rsidRDefault="00000000">
      <w:pPr>
        <w:pStyle w:val="21"/>
      </w:pPr>
      <w:r>
        <w:t>Перенос в учебный проект</w:t>
      </w:r>
    </w:p>
    <w:p w14:paraId="59AC526B" w14:textId="77777777" w:rsidR="00D665D7" w:rsidRDefault="00000000">
      <w:r>
        <w:t>Допустим, центр одновременно сокращает форму, меняет расписание и вводит напоминания. Даже при росте завершений нельзя приписать результат одному тексту уведомления. Для более узкого вопроса нужно удержать другие условия либо прямо признать, что оценивается пакет.</w:t>
      </w:r>
    </w:p>
    <w:p w14:paraId="42E2B075" w14:textId="77777777" w:rsidR="00D665D7" w:rsidRDefault="00000000">
      <w:r>
        <w:t>Кейс дает не универсальный рецепт социального давления, а образец уточнения вопроса и проверяемого сравнения. В новом проекте сначала оцениваются допустимость вмешательства, достоверность сообщения и интересы участников. Исторический результат не освобождает от этих проверок.</w:t>
      </w:r>
    </w:p>
    <w:p w14:paraId="0D984D53" w14:textId="77777777" w:rsidR="00D665D7" w:rsidRDefault="00000000">
      <w:r>
        <w:br w:type="page"/>
      </w:r>
    </w:p>
    <w:p w14:paraId="26DB344F" w14:textId="77777777" w:rsidR="00D665D7" w:rsidRDefault="00000000">
      <w:pPr>
        <w:pStyle w:val="1"/>
      </w:pPr>
      <w:r>
        <w:lastRenderedPageBreak/>
        <w:t>4. Матрица «вопрос — данные — метод — вывод»</w:t>
      </w:r>
    </w:p>
    <w:p w14:paraId="4272754B" w14:textId="77777777" w:rsidR="00D665D7" w:rsidRDefault="00000000">
      <w:r>
        <w:t>Метод выбирается под неизвестное. Анализ журнала показывает, где теряются обращения; интервью помогает понять обстоятельства; эксперимент оценивает отличие условий при соответствующем дизайне. В Magenta Book методы оценки связываются с вопросами и доступными основаниями [2]. Учебная матрица ниже является сокращенным авторским инструментом.</w:t>
      </w:r>
    </w:p>
    <w:p w14:paraId="280AFCA2" w14:textId="77777777" w:rsidR="00713411" w:rsidRDefault="00713411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3628"/>
        <w:gridCol w:w="3628"/>
      </w:tblGrid>
      <w:tr w:rsidR="00D665D7" w14:paraId="73E44890" w14:textId="77777777">
        <w:trPr>
          <w:cantSplit/>
          <w:tblHeader/>
          <w:jc w:val="center"/>
        </w:trPr>
        <w:tc>
          <w:tcPr>
            <w:tcW w:w="2381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C0A99BC" w14:textId="77777777" w:rsidR="00D665D7" w:rsidRDefault="00000000">
            <w:pPr>
              <w:pStyle w:val="TableBody"/>
            </w:pPr>
            <w:r>
              <w:rPr>
                <w:b/>
                <w:color w:val="FFFFFF"/>
              </w:rPr>
              <w:t>Вопрос</w:t>
            </w:r>
          </w:p>
        </w:tc>
        <w:tc>
          <w:tcPr>
            <w:tcW w:w="3628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DB892D1" w14:textId="77777777" w:rsidR="00D665D7" w:rsidRDefault="00000000">
            <w:pPr>
              <w:pStyle w:val="TableBody"/>
            </w:pPr>
            <w:r>
              <w:rPr>
                <w:b/>
                <w:color w:val="FFFFFF"/>
              </w:rPr>
              <w:t>Данные и способ получения</w:t>
            </w:r>
          </w:p>
        </w:tc>
        <w:tc>
          <w:tcPr>
            <w:tcW w:w="3628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E54DBE" w14:textId="77777777" w:rsidR="00D665D7" w:rsidRDefault="00000000">
            <w:pPr>
              <w:pStyle w:val="TableBody"/>
            </w:pPr>
            <w:r>
              <w:rPr>
                <w:b/>
                <w:color w:val="FFFFFF"/>
              </w:rPr>
              <w:t>Допустимый вывод</w:t>
            </w:r>
          </w:p>
        </w:tc>
      </w:tr>
      <w:tr w:rsidR="00D665D7" w14:paraId="7343F8AB" w14:textId="77777777">
        <w:trPr>
          <w:cantSplit/>
          <w:jc w:val="center"/>
        </w:trPr>
        <w:tc>
          <w:tcPr>
            <w:tcW w:w="238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C0B4A6" w14:textId="77777777" w:rsidR="00D665D7" w:rsidRDefault="00000000">
            <w:pPr>
              <w:pStyle w:val="TableBody"/>
            </w:pPr>
            <w:r>
              <w:t>Где меняется переход?</w:t>
            </w:r>
          </w:p>
        </w:tc>
        <w:tc>
          <w:tcPr>
            <w:tcW w:w="362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DF135A" w14:textId="77777777" w:rsidR="00D665D7" w:rsidRDefault="00000000">
            <w:pPr>
              <w:pStyle w:val="TableBody"/>
            </w:pPr>
            <w:r>
              <w:t>Согласованные статусы за два периода</w:t>
            </w:r>
          </w:p>
        </w:tc>
        <w:tc>
          <w:tcPr>
            <w:tcW w:w="362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6F655BC" w14:textId="77777777" w:rsidR="00D665D7" w:rsidRDefault="00000000">
            <w:pPr>
              <w:pStyle w:val="TableBody"/>
            </w:pPr>
            <w:r>
              <w:t>Описание различия</w:t>
            </w:r>
          </w:p>
        </w:tc>
      </w:tr>
      <w:tr w:rsidR="00D665D7" w14:paraId="59A7F39E" w14:textId="77777777">
        <w:trPr>
          <w:cantSplit/>
          <w:jc w:val="center"/>
        </w:trPr>
        <w:tc>
          <w:tcPr>
            <w:tcW w:w="238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A79D21" w14:textId="77777777" w:rsidR="00D665D7" w:rsidRDefault="00000000">
            <w:pPr>
              <w:pStyle w:val="TableBody"/>
            </w:pPr>
            <w:r>
              <w:t>Как понимают подтверждение?</w:t>
            </w:r>
          </w:p>
        </w:tc>
        <w:tc>
          <w:tcPr>
            <w:tcW w:w="36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643A8C4" w14:textId="77777777" w:rsidR="00D665D7" w:rsidRDefault="00000000">
            <w:pPr>
              <w:pStyle w:val="TableBody"/>
            </w:pPr>
            <w:r>
              <w:t>Пересказ конкретного сообщения</w:t>
            </w:r>
          </w:p>
        </w:tc>
        <w:tc>
          <w:tcPr>
            <w:tcW w:w="36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AE66BB" w14:textId="77777777" w:rsidR="00D665D7" w:rsidRDefault="00000000">
            <w:pPr>
              <w:pStyle w:val="TableBody"/>
            </w:pPr>
            <w:r>
              <w:t>Выявление неоднозначностей</w:t>
            </w:r>
          </w:p>
        </w:tc>
      </w:tr>
      <w:tr w:rsidR="00D665D7" w14:paraId="13D9B622" w14:textId="77777777">
        <w:trPr>
          <w:cantSplit/>
          <w:jc w:val="center"/>
        </w:trPr>
        <w:tc>
          <w:tcPr>
            <w:tcW w:w="238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39CC84" w14:textId="77777777" w:rsidR="00D665D7" w:rsidRDefault="00000000">
            <w:pPr>
              <w:pStyle w:val="TableBody"/>
            </w:pPr>
            <w:r>
              <w:t>Почему выбран другой сеанс?</w:t>
            </w:r>
          </w:p>
        </w:tc>
        <w:tc>
          <w:tcPr>
            <w:tcW w:w="362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67AECF" w14:textId="77777777" w:rsidR="00D665D7" w:rsidRDefault="00000000">
            <w:pPr>
              <w:pStyle w:val="TableBody"/>
            </w:pPr>
            <w:r>
              <w:t>Интервью о недавнем эпизоде</w:t>
            </w:r>
          </w:p>
        </w:tc>
        <w:tc>
          <w:tcPr>
            <w:tcW w:w="3628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AA0049" w14:textId="77777777" w:rsidR="00D665D7" w:rsidRDefault="00000000">
            <w:pPr>
              <w:pStyle w:val="TableBody"/>
            </w:pPr>
            <w:r>
              <w:t>Возможные механизмы выбора</w:t>
            </w:r>
          </w:p>
        </w:tc>
      </w:tr>
      <w:tr w:rsidR="00D665D7" w14:paraId="116A622E" w14:textId="77777777">
        <w:trPr>
          <w:cantSplit/>
          <w:jc w:val="center"/>
        </w:trPr>
        <w:tc>
          <w:tcPr>
            <w:tcW w:w="238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2CE004" w14:textId="77777777" w:rsidR="00D665D7" w:rsidRDefault="00000000">
            <w:pPr>
              <w:pStyle w:val="TableBody"/>
            </w:pPr>
            <w:r>
              <w:t>Помогло ли напоминание?</w:t>
            </w:r>
          </w:p>
        </w:tc>
        <w:tc>
          <w:tcPr>
            <w:tcW w:w="36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9AACA1" w14:textId="77777777" w:rsidR="00D665D7" w:rsidRDefault="00000000">
            <w:pPr>
              <w:pStyle w:val="TableBody"/>
            </w:pPr>
            <w:r>
              <w:t>Сопоставимые условия с контролем</w:t>
            </w:r>
          </w:p>
        </w:tc>
        <w:tc>
          <w:tcPr>
            <w:tcW w:w="3628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DD78A6" w14:textId="77777777" w:rsidR="00D665D7" w:rsidRDefault="00000000">
            <w:pPr>
              <w:pStyle w:val="TableBody"/>
            </w:pPr>
            <w:r>
              <w:t>Оценка эффекта при оговорках</w:t>
            </w:r>
          </w:p>
        </w:tc>
      </w:tr>
    </w:tbl>
    <w:p w14:paraId="39454B83" w14:textId="77777777" w:rsidR="00D665D7" w:rsidRDefault="00D665D7">
      <w:pPr>
        <w:spacing w:after="0" w:line="60" w:lineRule="exact"/>
      </w:pPr>
    </w:p>
    <w:p w14:paraId="09DF21AF" w14:textId="77777777" w:rsidR="00713411" w:rsidRDefault="00713411"/>
    <w:p w14:paraId="326EC166" w14:textId="488AA4BF" w:rsidR="00D665D7" w:rsidRDefault="00000000">
      <w:r>
        <w:t>Выборка определяется вопросом, а не магическим минимальным числом участников. Несколько интервью могут обнаружить проблему, но не оценить ее распространенность среди всех клиентов. Большая удобная выборка также не устраняет систематический самоотбор. В плане нужно назвать способ приглашения и кого процедура не охватит.</w:t>
      </w:r>
    </w:p>
    <w:p w14:paraId="5DFE339B" w14:textId="77777777" w:rsidR="00D665D7" w:rsidRDefault="00000000">
      <w:pPr>
        <w:pStyle w:val="21"/>
      </w:pPr>
      <w:r>
        <w:t>Работа с отсутствующими сведениями</w:t>
      </w:r>
    </w:p>
    <w:p w14:paraId="7C0E9B12" w14:textId="77777777" w:rsidR="00D665D7" w:rsidRDefault="00000000">
      <w:r>
        <w:t>У каждого источника должен быть статус: доступен, запрошен, получение невозможно или нецелесообразно. Если нет истории индивидуальных переходов, можно рассчитать отношения агрегатов, но нельзя незаметно назвать их индивидуальной конверсией одной когорты. Это ограничение отражается в тексте результата.</w:t>
      </w:r>
    </w:p>
    <w:p w14:paraId="575FF29B" w14:textId="77777777" w:rsidR="00D665D7" w:rsidRDefault="00000000">
      <w:r>
        <w:t>Для каждого вопроса предусмотрите решение при разных исходах. Если сообщения непонятны — проверить новую формулировку; если поняты, но время неудобно — сравнить расписания; если места отсутствуют — не увеличивать поток без операционного решения. Такая карта делает исследование полезным даже при отрицательном результате любимой гипотезы.</w:t>
      </w:r>
    </w:p>
    <w:p w14:paraId="16EB01E6" w14:textId="77777777" w:rsidR="00D665D7" w:rsidRDefault="00000000">
      <w:r>
        <w:t>Наконец, определите момент остановки. Сбор не должен продолжаться бессрочно до появления желаемой истории. Достаточность оценивается по тому, можно ли принять оговоренное решение с приемлемой неопределенностью, а не по размеру папки материалов.</w:t>
      </w:r>
    </w:p>
    <w:p w14:paraId="50B48302" w14:textId="77777777" w:rsidR="00D665D7" w:rsidRDefault="00000000">
      <w:r>
        <w:br w:type="page"/>
      </w:r>
    </w:p>
    <w:p w14:paraId="3812D53E" w14:textId="77777777" w:rsidR="00D665D7" w:rsidRDefault="00000000">
      <w:pPr>
        <w:pStyle w:val="1"/>
      </w:pPr>
      <w:r>
        <w:lastRenderedPageBreak/>
        <w:t>5. План, ресурсы и сценарии пересмотра</w:t>
      </w:r>
    </w:p>
    <w:p w14:paraId="458B8C7B" w14:textId="77777777" w:rsidR="00D665D7" w:rsidRDefault="00000000">
      <w:r>
        <w:t>План аналитической работы содержит этап, результат, ответственного, срок и условие перехода. Для небольшой записки разумно сначала проверить определения, затем подготовить таблицу и только после этого назначать интервью по нерешенным вопросам. Последовательность уточняется при обнаружении ошибки, но версии плана сохраняются.</w:t>
      </w:r>
    </w:p>
    <w:p w14:paraId="1599262D" w14:textId="77777777" w:rsidR="00D665D7" w:rsidRDefault="00000000">
      <w:pPr>
        <w:pStyle w:val="21"/>
      </w:pPr>
      <w:r>
        <w:t>Пример пятидневного цикла</w:t>
      </w:r>
    </w:p>
    <w:p w14:paraId="2F5A3782" w14:textId="77777777" w:rsidR="00D665D7" w:rsidRDefault="00000000">
      <w:r>
        <w:t>День 1 — согласование вопроса и словаря показателей. День 2 — сверка данных и первая описательная таблица. День 3 — анализ содержания сообщений и план уточняющих бесед. День 4 — сравнение объяснений и черновик. День 5 — независимая проверка расчетов и выпуск. Это пример организации учебной работы, а не норматив продолжительности исследования.</w:t>
      </w:r>
    </w:p>
    <w:p w14:paraId="5C16AD90" w14:textId="77777777" w:rsidR="00713411" w:rsidRDefault="00713411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6746"/>
      </w:tblGrid>
      <w:tr w:rsidR="00D665D7" w14:paraId="559F8C37" w14:textId="77777777">
        <w:trPr>
          <w:cantSplit/>
          <w:tblHeader/>
          <w:jc w:val="center"/>
        </w:trPr>
        <w:tc>
          <w:tcPr>
            <w:tcW w:w="2891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31041AE" w14:textId="77777777" w:rsidR="00D665D7" w:rsidRDefault="00000000">
            <w:pPr>
              <w:pStyle w:val="TableBody"/>
            </w:pPr>
            <w:r>
              <w:rPr>
                <w:b/>
                <w:color w:val="FFFFFF"/>
              </w:rPr>
              <w:t>Риск плана</w:t>
            </w:r>
          </w:p>
        </w:tc>
        <w:tc>
          <w:tcPr>
            <w:tcW w:w="6746" w:type="dxa"/>
            <w:shd w:val="clear" w:color="auto" w:fill="173B50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B486AE" w14:textId="77777777" w:rsidR="00D665D7" w:rsidRDefault="00000000">
            <w:pPr>
              <w:pStyle w:val="TableBody"/>
            </w:pPr>
            <w:r>
              <w:rPr>
                <w:b/>
                <w:color w:val="FFFFFF"/>
              </w:rPr>
              <w:t>Предупреждающее действие</w:t>
            </w:r>
          </w:p>
        </w:tc>
      </w:tr>
      <w:tr w:rsidR="00D665D7" w14:paraId="0E1E62B6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D2ED00" w14:textId="77777777" w:rsidR="00D665D7" w:rsidRDefault="00000000">
            <w:pPr>
              <w:pStyle w:val="TableBody"/>
            </w:pPr>
            <w:r>
              <w:t>Заказчик меняет вопрос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DAFCBC" w14:textId="77777777" w:rsidR="00D665D7" w:rsidRDefault="00000000">
            <w:pPr>
              <w:pStyle w:val="TableBody"/>
            </w:pPr>
            <w:r>
              <w:t>Фиксировать исходную и новую версии</w:t>
            </w:r>
          </w:p>
        </w:tc>
      </w:tr>
      <w:tr w:rsidR="00D665D7" w14:paraId="6E181DEE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EBD8C40" w14:textId="77777777" w:rsidR="00D665D7" w:rsidRDefault="00000000">
            <w:pPr>
              <w:pStyle w:val="TableBody"/>
            </w:pPr>
            <w:r>
              <w:t>Источник недоступен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BA4C91" w14:textId="77777777" w:rsidR="00D665D7" w:rsidRDefault="00000000">
            <w:pPr>
              <w:pStyle w:val="TableBody"/>
            </w:pPr>
            <w:r>
              <w:t>Предусмотреть запасной источник и предел вывода</w:t>
            </w:r>
          </w:p>
        </w:tc>
      </w:tr>
      <w:tr w:rsidR="00D665D7" w14:paraId="5D715BA2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4129B3" w14:textId="77777777" w:rsidR="00D665D7" w:rsidRDefault="00000000">
            <w:pPr>
              <w:pStyle w:val="TableBody"/>
            </w:pPr>
            <w:r>
              <w:t>Не хватает времени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E983C8" w14:textId="77777777" w:rsidR="00D665D7" w:rsidRDefault="00000000">
            <w:pPr>
              <w:pStyle w:val="TableBody"/>
            </w:pPr>
            <w:r>
              <w:t>Сократить охват, не выдумывать наблюдения</w:t>
            </w:r>
          </w:p>
        </w:tc>
      </w:tr>
      <w:tr w:rsidR="00D665D7" w14:paraId="49568D92" w14:textId="77777777">
        <w:trPr>
          <w:cantSplit/>
          <w:jc w:val="center"/>
        </w:trPr>
        <w:tc>
          <w:tcPr>
            <w:tcW w:w="2891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D536BB" w14:textId="77777777" w:rsidR="00D665D7" w:rsidRDefault="00000000">
            <w:pPr>
              <w:pStyle w:val="TableBody"/>
            </w:pPr>
            <w:r>
              <w:t>Причина объявлена заранее</w:t>
            </w:r>
          </w:p>
        </w:tc>
        <w:tc>
          <w:tcPr>
            <w:tcW w:w="6746" w:type="dxa"/>
            <w:shd w:val="clear" w:color="auto" w:fill="FFFFFF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EA19ED0" w14:textId="77777777" w:rsidR="00D665D7" w:rsidRDefault="00000000">
            <w:pPr>
              <w:pStyle w:val="TableBody"/>
            </w:pPr>
            <w:r>
              <w:t>Включить конкурирующую гипотезу</w:t>
            </w:r>
          </w:p>
        </w:tc>
      </w:tr>
      <w:tr w:rsidR="00D665D7" w14:paraId="70E012F6" w14:textId="77777777">
        <w:trPr>
          <w:cantSplit/>
          <w:jc w:val="center"/>
        </w:trPr>
        <w:tc>
          <w:tcPr>
            <w:tcW w:w="2891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81E532" w14:textId="77777777" w:rsidR="00D665D7" w:rsidRDefault="00000000">
            <w:pPr>
              <w:pStyle w:val="TableBody"/>
            </w:pPr>
            <w:r>
              <w:t>Данные содержат личные сведения</w:t>
            </w:r>
          </w:p>
        </w:tc>
        <w:tc>
          <w:tcPr>
            <w:tcW w:w="6746" w:type="dxa"/>
            <w:shd w:val="clear" w:color="auto" w:fill="F0F5F7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A4269C2" w14:textId="77777777" w:rsidR="00D665D7" w:rsidRDefault="00000000">
            <w:pPr>
              <w:pStyle w:val="TableBody"/>
            </w:pPr>
            <w:r>
              <w:t>Сократить состав и обезличить материал</w:t>
            </w:r>
          </w:p>
        </w:tc>
      </w:tr>
    </w:tbl>
    <w:p w14:paraId="5F445F40" w14:textId="77777777" w:rsidR="00D665D7" w:rsidRDefault="00D665D7">
      <w:pPr>
        <w:spacing w:after="0" w:line="60" w:lineRule="exact"/>
      </w:pPr>
    </w:p>
    <w:p w14:paraId="33861CC9" w14:textId="77777777" w:rsidR="00713411" w:rsidRDefault="00713411">
      <w:pPr>
        <w:pStyle w:val="21"/>
      </w:pPr>
    </w:p>
    <w:p w14:paraId="5D070C11" w14:textId="6D0D5516" w:rsidR="00D665D7" w:rsidRDefault="00000000">
      <w:pPr>
        <w:pStyle w:val="21"/>
      </w:pPr>
      <w:r>
        <w:t>Формулировка результата исследования</w:t>
      </w:r>
    </w:p>
    <w:p w14:paraId="7266BEA4" w14:textId="77777777" w:rsidR="00D665D7" w:rsidRDefault="00000000">
      <w:r>
        <w:t>Слабая запись: «Будет проведен комплексный анализ и даны рекомендации». Более проверяемая: «Будут сопоставлены четыре этапа пути за два равных периода, выделены до трех объяснений и предложен один ограниченный пилот с условиями остановки». Во второй версии можно проверить выполнение обещания.</w:t>
      </w:r>
    </w:p>
    <w:p w14:paraId="6AAC8AF1" w14:textId="77777777" w:rsidR="00D665D7" w:rsidRDefault="00000000">
      <w:r>
        <w:t>План также определяет роли. Автор расчетов не обязан единолично утверждать рекомендацию. Человек, отвечающий за расписание, подтверждает ограничения мест; аналитик проверяет основания; руководитель выбирает допустимый компромисс. Даже в индивидуальной работе эти функции полезно различать.</w:t>
      </w:r>
    </w:p>
    <w:p w14:paraId="785B3902" w14:textId="77777777" w:rsidR="00D665D7" w:rsidRDefault="00000000">
      <w:r>
        <w:t>Перед началом запишите отрицательный результат, который будет полезен. Например, отсутствие различий между вариантами сообщения может предотвратить расходы на массовый редизайн. Аналитическая работа не обязана завершаться рекомендацией о внедрении новой функции, чтобы иметь ценность для организации.</w:t>
      </w:r>
    </w:p>
    <w:sectPr w:rsidR="00D665D7" w:rsidSect="00034616">
      <w:headerReference w:type="default" r:id="rId8"/>
      <w:footerReference w:type="default" r:id="rId9"/>
      <w:pgSz w:w="11906" w:h="16838"/>
      <w:pgMar w:top="992" w:right="1134" w:bottom="964" w:left="1134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1A52E" w14:textId="77777777" w:rsidR="00363D44" w:rsidRDefault="00363D44">
      <w:pPr>
        <w:spacing w:after="0" w:line="240" w:lineRule="auto"/>
      </w:pPr>
      <w:r>
        <w:separator/>
      </w:r>
    </w:p>
  </w:endnote>
  <w:endnote w:type="continuationSeparator" w:id="0">
    <w:p w14:paraId="6E4A0495" w14:textId="77777777" w:rsidR="00363D44" w:rsidRDefault="00363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72174" w14:textId="7F40800D" w:rsidR="00D665D7" w:rsidRDefault="00D665D7">
    <w:pPr>
      <w:pStyle w:val="Small"/>
      <w:tabs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4D5BB" w14:textId="77777777" w:rsidR="00363D44" w:rsidRDefault="00363D44">
      <w:pPr>
        <w:spacing w:after="0" w:line="240" w:lineRule="auto"/>
      </w:pPr>
      <w:r>
        <w:separator/>
      </w:r>
    </w:p>
  </w:footnote>
  <w:footnote w:type="continuationSeparator" w:id="0">
    <w:p w14:paraId="5D96EE48" w14:textId="77777777" w:rsidR="00363D44" w:rsidRDefault="00363D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2AE19" w14:textId="1007331C" w:rsidR="00D665D7" w:rsidRDefault="00D665D7">
    <w:pPr>
      <w:pStyle w:val="Small"/>
      <w:pBdr>
        <w:bottom w:val="single" w:sz="4" w:space="0" w:color="BCCDD5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89745150">
    <w:abstractNumId w:val="8"/>
  </w:num>
  <w:num w:numId="2" w16cid:durableId="689530582">
    <w:abstractNumId w:val="6"/>
  </w:num>
  <w:num w:numId="3" w16cid:durableId="2104833842">
    <w:abstractNumId w:val="5"/>
  </w:num>
  <w:num w:numId="4" w16cid:durableId="1622611011">
    <w:abstractNumId w:val="4"/>
  </w:num>
  <w:num w:numId="5" w16cid:durableId="1923024559">
    <w:abstractNumId w:val="7"/>
  </w:num>
  <w:num w:numId="6" w16cid:durableId="801079108">
    <w:abstractNumId w:val="3"/>
  </w:num>
  <w:num w:numId="7" w16cid:durableId="806824680">
    <w:abstractNumId w:val="2"/>
  </w:num>
  <w:num w:numId="8" w16cid:durableId="1277057382">
    <w:abstractNumId w:val="1"/>
  </w:num>
  <w:num w:numId="9" w16cid:durableId="1885210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3D44"/>
    <w:rsid w:val="00713411"/>
    <w:rsid w:val="00837A8D"/>
    <w:rsid w:val="00AA1D8D"/>
    <w:rsid w:val="00B47730"/>
    <w:rsid w:val="00CB0664"/>
    <w:rsid w:val="00D665D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CE7D7A"/>
  <w14:defaultImageDpi w14:val="300"/>
  <w15:docId w15:val="{3E72A564-C51D-4DB3-8866-5E2F1B6E3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9" w:lineRule="auto"/>
    </w:pPr>
    <w:rPr>
      <w:rFonts w:ascii="Times New Roman" w:eastAsia="Times New Roman" w:hAnsi="Times New Roman" w:cs="Times New Roman"/>
      <w:color w:val="202B32"/>
      <w:sz w:val="25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73B5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24717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color w:val="173B50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173B50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80" w:line="259" w:lineRule="auto"/>
    </w:pPr>
    <w:rPr>
      <w:rFonts w:ascii="Arial" w:eastAsia="Arial" w:hAnsi="Arial" w:cs="Arial"/>
      <w:color w:val="334D5B"/>
      <w:sz w:val="18"/>
      <w:lang w:val="ru-RU"/>
    </w:rPr>
  </w:style>
  <w:style w:type="paragraph" w:customStyle="1" w:styleId="TableBody">
    <w:name w:val="Table Body"/>
    <w:pPr>
      <w:spacing w:after="80" w:line="259" w:lineRule="auto"/>
    </w:pPr>
    <w:rPr>
      <w:rFonts w:ascii="Arial" w:eastAsia="Arial" w:hAnsi="Arial" w:cs="Arial"/>
      <w:color w:val="334D5B"/>
      <w:sz w:val="20"/>
      <w:lang w:val="ru-RU"/>
    </w:rPr>
  </w:style>
  <w:style w:type="paragraph" w:customStyle="1" w:styleId="Source">
    <w:name w:val="Source"/>
    <w:pPr>
      <w:spacing w:after="80" w:line="259" w:lineRule="auto"/>
    </w:pPr>
    <w:rPr>
      <w:rFonts w:ascii="Arial" w:eastAsia="Arial" w:hAnsi="Arial" w:cs="Arial"/>
      <w:color w:val="334D5B"/>
      <w:sz w:val="18"/>
      <w:lang w:val="ru-RU"/>
    </w:rPr>
  </w:style>
  <w:style w:type="paragraph" w:customStyle="1" w:styleId="Callout">
    <w:name w:val="Callout"/>
    <w:pPr>
      <w:spacing w:after="80" w:line="259" w:lineRule="auto"/>
    </w:pPr>
    <w:rPr>
      <w:rFonts w:ascii="Arial" w:eastAsia="Arial" w:hAnsi="Arial" w:cs="Arial"/>
      <w:color w:val="334D5B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1470</Words>
  <Characters>8383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Навыки создания аналитических материалов. Лекция 2</dc:title>
  <dc:subject>Учебный материал для бакалавриата</dc:subject>
  <dc:creator/>
  <cp:keywords>аналитика, источники, отчет, аргументация, дистанционное обучение</cp:keywords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2026-10-07T18:42:00Z</dcterms:modified>
  <cp:category/>
</cp:coreProperties>
</file>