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E0D9A" w14:textId="77777777" w:rsidR="00BA71F9" w:rsidRDefault="00000000" w:rsidP="00BA71F9">
      <w:pPr>
        <w:pStyle w:val="aa"/>
      </w:pPr>
      <w:r>
        <w:t>Коммерческие страницы: предложение, доверие и конверсия</w:t>
      </w:r>
    </w:p>
    <w:p w14:paraId="7C02AD9E" w14:textId="77777777" w:rsidR="00BA71F9" w:rsidRDefault="00BA71F9" w:rsidP="00BA71F9">
      <w:pPr>
        <w:pStyle w:val="aa"/>
      </w:pPr>
    </w:p>
    <w:p w14:paraId="6C3A6E1E" w14:textId="00ACB0AE" w:rsidR="007624A7" w:rsidRDefault="00000000" w:rsidP="00BA71F9">
      <w:pPr>
        <w:pStyle w:val="aa"/>
      </w:pPr>
      <w:r>
        <w:t>1. Обещание и состав предложения</w:t>
      </w:r>
    </w:p>
    <w:p w14:paraId="189F6093" w14:textId="77777777" w:rsidR="007624A7" w:rsidRDefault="00000000">
      <w:r>
        <w:t>Точка входа формирует ожидание. Человек может прийти из поиска сразу к занятию, поэтому страница подтверждает тему и условия без обязательного путешествия через главную. Основы SEO Google также связывают ясное содержание и структуру с пониманием страницы [3].</w:t>
      </w:r>
    </w:p>
    <w:p w14:paraId="52DDEBE7" w14:textId="77777777" w:rsidR="00BA71F9" w:rsidRDefault="00BA71F9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14"/>
        <w:gridCol w:w="3490"/>
        <w:gridCol w:w="3490"/>
      </w:tblGrid>
      <w:tr w:rsidR="007624A7" w14:paraId="6E062C05" w14:textId="77777777">
        <w:trPr>
          <w:cantSplit/>
          <w:tblHeader/>
          <w:jc w:val="center"/>
        </w:trPr>
        <w:tc>
          <w:tcPr>
            <w:tcW w:w="2714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489BA1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 посетителя</w:t>
            </w:r>
          </w:p>
        </w:tc>
        <w:tc>
          <w:tcPr>
            <w:tcW w:w="3490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873A1E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Нужное содержание</w:t>
            </w:r>
          </w:p>
        </w:tc>
        <w:tc>
          <w:tcPr>
            <w:tcW w:w="3490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CD6772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Ошибка дизайна</w:t>
            </w:r>
          </w:p>
        </w:tc>
      </w:tr>
      <w:tr w:rsidR="007624A7" w14:paraId="77165BDA" w14:textId="77777777">
        <w:trPr>
          <w:cantSplit/>
          <w:jc w:val="center"/>
        </w:trPr>
        <w:tc>
          <w:tcPr>
            <w:tcW w:w="27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D3B113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Для кого занятие?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3D3072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Уровень и исходные навыки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7859B5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Одни эмоциональные эпитеты</w:t>
            </w:r>
          </w:p>
        </w:tc>
      </w:tr>
      <w:tr w:rsidR="007624A7" w14:paraId="35A4F2FF" w14:textId="77777777">
        <w:trPr>
          <w:cantSplit/>
          <w:jc w:val="center"/>
        </w:trPr>
        <w:tc>
          <w:tcPr>
            <w:tcW w:w="271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CEB800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получу?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875B0F1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Программа и реалистичный результат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11D854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Необоснованная гарантия</w:t>
            </w:r>
          </w:p>
        </w:tc>
      </w:tr>
      <w:tr w:rsidR="007624A7" w14:paraId="338A1464" w14:textId="77777777">
        <w:trPr>
          <w:cantSplit/>
          <w:jc w:val="center"/>
        </w:trPr>
        <w:tc>
          <w:tcPr>
            <w:tcW w:w="27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0AEA5F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Когда и где?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CDE7CD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Дата, формат и место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425A2B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Сведения только после заявки</w:t>
            </w:r>
          </w:p>
        </w:tc>
      </w:tr>
      <w:tr w:rsidR="007624A7" w14:paraId="137C5333" w14:textId="77777777">
        <w:trPr>
          <w:cantSplit/>
          <w:jc w:val="center"/>
        </w:trPr>
        <w:tc>
          <w:tcPr>
            <w:tcW w:w="271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3D18F8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Сколько стоит?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F3B75C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Полная сумма и состав</w:t>
            </w:r>
          </w:p>
        </w:tc>
        <w:tc>
          <w:tcPr>
            <w:tcW w:w="3490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CE3963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Неясные доплаты</w:t>
            </w:r>
          </w:p>
        </w:tc>
      </w:tr>
      <w:tr w:rsidR="007624A7" w14:paraId="508BC93D" w14:textId="77777777">
        <w:trPr>
          <w:cantSplit/>
          <w:jc w:val="center"/>
        </w:trPr>
        <w:tc>
          <w:tcPr>
            <w:tcW w:w="27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9082E7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Что произойдет дальше?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FA944F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Статус и порядок ответа</w:t>
            </w:r>
          </w:p>
        </w:tc>
        <w:tc>
          <w:tcPr>
            <w:tcW w:w="3490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1883FA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Заявка названа подтверждением</w:t>
            </w:r>
          </w:p>
        </w:tc>
      </w:tr>
    </w:tbl>
    <w:p w14:paraId="1DB40493" w14:textId="77777777" w:rsidR="007624A7" w:rsidRDefault="007624A7">
      <w:pPr>
        <w:spacing w:after="20" w:line="60" w:lineRule="exact"/>
      </w:pPr>
    </w:p>
    <w:p w14:paraId="46A895CA" w14:textId="77777777" w:rsidR="00BA71F9" w:rsidRDefault="00BA71F9"/>
    <w:p w14:paraId="1E2045F5" w14:textId="26AFF076" w:rsidR="007624A7" w:rsidRDefault="00000000">
      <w:r>
        <w:t>Иерархия зависит от риска и сложности. Для простого знакомого товара состав короче; для незнакомого занятия важны подготовка и ограничения. Универсальная формула лендинга не заменяет изучение вопроса.</w:t>
      </w:r>
    </w:p>
    <w:p w14:paraId="57289794" w14:textId="77777777" w:rsidR="007624A7" w:rsidRDefault="00000000">
      <w:r>
        <w:t>Первый экран помогает определить релевантность, но не обязан содержать весь договор. Подробности располагают логично, обеспечивая доступ до решения. Нельзя прятать существенное условие под двусмысленной ссылкой.</w:t>
      </w:r>
    </w:p>
    <w:p w14:paraId="4B4BDEDC" w14:textId="77777777" w:rsidR="007624A7" w:rsidRDefault="00000000">
      <w:r>
        <w:t>Призыв к действию соответствует готовности человека. Если сначала требуется дата, «Выбрать сеанс» точнее «Купить». Если доступность уточняет администратор, заявка не становится мгновенным бронированием.</w:t>
      </w:r>
    </w:p>
    <w:p w14:paraId="38B16C73" w14:textId="77777777" w:rsidR="007624A7" w:rsidRDefault="00000000">
      <w:r>
        <w:t>Каталог и страница работают вместе. Карточка дает основу сравнения, подробная — достаточное объяснение. Повторение важного допустимо, если сведения согласованы. Отдельные ручные версии цены создают риск противоречий.</w:t>
      </w:r>
    </w:p>
    <w:p w14:paraId="099A390B" w14:textId="77777777" w:rsidR="007624A7" w:rsidRDefault="00000000">
      <w:r>
        <w:t>Проверка начинается с вопроса: после одного просмотра человек верно объяснит предложение? Только затем обсуждаются способы увеличить заметность действия. Усиление непонятного обещания увеличивает риск ошибки.</w:t>
      </w:r>
    </w:p>
    <w:p w14:paraId="7C8B167C" w14:textId="77777777" w:rsidR="007624A7" w:rsidRDefault="00000000">
      <w:pPr>
        <w:pStyle w:val="1"/>
        <w:pageBreakBefore/>
      </w:pPr>
      <w:r>
        <w:lastRenderedPageBreak/>
        <w:t>2. Доверие, сравнение и выбор</w:t>
      </w:r>
    </w:p>
    <w:p w14:paraId="7EEA9BCA" w14:textId="77777777" w:rsidR="007624A7" w:rsidRDefault="00000000">
      <w:r>
        <w:t>Доверие поддерживается подтверждаемыми сведениями: кто организует, что входит, как получить помощь и какие ограничения. Значок «надежно» без основания не является доказательством. Дизайнер отвечает за способ представления и не выдумывает содержание.</w:t>
      </w:r>
    </w:p>
    <w:p w14:paraId="7C8972EF" w14:textId="77777777" w:rsidR="00BA71F9" w:rsidRDefault="00BA71F9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05"/>
        <w:gridCol w:w="6689"/>
      </w:tblGrid>
      <w:tr w:rsidR="007624A7" w14:paraId="57D11CBA" w14:textId="77777777">
        <w:trPr>
          <w:cantSplit/>
          <w:tblHeader/>
          <w:jc w:val="center"/>
        </w:trPr>
        <w:tc>
          <w:tcPr>
            <w:tcW w:w="3005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678142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Свидетельство</w:t>
            </w:r>
          </w:p>
        </w:tc>
        <w:tc>
          <w:tcPr>
            <w:tcW w:w="6689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D6719A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Проверка</w:t>
            </w:r>
          </w:p>
        </w:tc>
      </w:tr>
      <w:tr w:rsidR="007624A7" w14:paraId="46E41561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47E81C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Преподаватель</w:t>
            </w:r>
          </w:p>
        </w:tc>
        <w:tc>
          <w:tcPr>
            <w:tcW w:w="668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A03A29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Подтверждены роль и опыт</w:t>
            </w:r>
          </w:p>
        </w:tc>
      </w:tr>
      <w:tr w:rsidR="007624A7" w14:paraId="4D23DBD8" w14:textId="77777777">
        <w:trPr>
          <w:cantSplit/>
          <w:jc w:val="center"/>
        </w:trPr>
        <w:tc>
          <w:tcPr>
            <w:tcW w:w="300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1505F4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Работа участника</w:t>
            </w:r>
          </w:p>
        </w:tc>
        <w:tc>
          <w:tcPr>
            <w:tcW w:w="668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9221B4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Есть разрешение и честное описание</w:t>
            </w:r>
          </w:p>
        </w:tc>
      </w:tr>
      <w:tr w:rsidR="007624A7" w14:paraId="3663F42F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B5C50F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Отзыв</w:t>
            </w:r>
          </w:p>
        </w:tc>
        <w:tc>
          <w:tcPr>
            <w:tcW w:w="668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55B741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выдуман, контекст не искажен</w:t>
            </w:r>
          </w:p>
        </w:tc>
      </w:tr>
      <w:tr w:rsidR="007624A7" w14:paraId="05B9A5F4" w14:textId="77777777">
        <w:trPr>
          <w:cantSplit/>
          <w:jc w:val="center"/>
        </w:trPr>
        <w:tc>
          <w:tcPr>
            <w:tcW w:w="300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9B7210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Фотография</w:t>
            </w:r>
          </w:p>
        </w:tc>
        <w:tc>
          <w:tcPr>
            <w:tcW w:w="668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D73921F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Соответствует реальному объекту либо явно иллюстративна</w:t>
            </w:r>
          </w:p>
        </w:tc>
      </w:tr>
      <w:tr w:rsidR="007624A7" w14:paraId="141BD72D" w14:textId="77777777">
        <w:trPr>
          <w:cantSplit/>
          <w:jc w:val="center"/>
        </w:trPr>
        <w:tc>
          <w:tcPr>
            <w:tcW w:w="300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E202A54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Условие услуги</w:t>
            </w:r>
          </w:p>
        </w:tc>
        <w:tc>
          <w:tcPr>
            <w:tcW w:w="668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04A431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Подтверждено владельцем процесса</w:t>
            </w:r>
          </w:p>
        </w:tc>
      </w:tr>
    </w:tbl>
    <w:p w14:paraId="0B1A9811" w14:textId="77777777" w:rsidR="007624A7" w:rsidRDefault="007624A7">
      <w:pPr>
        <w:spacing w:after="20" w:line="60" w:lineRule="exact"/>
      </w:pPr>
    </w:p>
    <w:p w14:paraId="0ABBE3AB" w14:textId="77777777" w:rsidR="00BA71F9" w:rsidRDefault="00BA71F9"/>
    <w:p w14:paraId="164878EE" w14:textId="400B40A5" w:rsidR="007624A7" w:rsidRDefault="00000000">
      <w:r>
        <w:t>Сравнение должно использовать одинаковые признаки. Если у одной карточки дана полная цена, а у другой только минимальная без условий, визуальная симметрия скрывает несопоставимость. Различия объясняют, а не маскируют.</w:t>
      </w:r>
    </w:p>
    <w:p w14:paraId="7553F123" w14:textId="77777777" w:rsidR="007624A7" w:rsidRDefault="00000000">
      <w:r>
        <w:t>Фильтр сокращает выбор по значимому параметру и показывает результат. Пустое состояние предлагает изменить ограничение, не создавая ложного впечатления поломки. Не каждый небольшой каталог нуждается в сложном фильтре.</w:t>
      </w:r>
    </w:p>
    <w:p w14:paraId="3056D223" w14:textId="77777777" w:rsidR="007624A7" w:rsidRDefault="00000000">
      <w:r>
        <w:t>Регистрация может быть полезна для последующего управления, но ее необходимость обосновывают. Одноразовая заявка не должна автоматически требовать учетную запись, если задача выполняется без нее. В конкретном проекте важны безопасность и процесс, а не универсальный запрет регистрации.</w:t>
      </w:r>
    </w:p>
    <w:p w14:paraId="0DC85D76" w14:textId="77777777" w:rsidR="007624A7" w:rsidRDefault="00000000">
      <w:r>
        <w:t>Срочность допустима, когда основана на реальном ограничении и корректно обновляется. Таймер без связи с наличием создает ложное давление. Аналогично «все места почти заняты» требует данных, а не декоративной анимации.</w:t>
      </w:r>
    </w:p>
    <w:p w14:paraId="5AB63C0D" w14:textId="77777777" w:rsidR="007624A7" w:rsidRDefault="00000000">
      <w:r>
        <w:t>Необязательный выбор сохраняется необязательным. Подписка, дополнительные услуги и рассылка не скрываются в основном действии. Прозрачность — ограничение качества, которое не снимается обещанием высокой конверсии.</w:t>
      </w:r>
    </w:p>
    <w:p w14:paraId="1C2AA3CE" w14:textId="77777777" w:rsidR="007624A7" w:rsidRDefault="00000000">
      <w:pPr>
        <w:pStyle w:val="1"/>
        <w:pageBreakBefore/>
      </w:pPr>
      <w:r>
        <w:lastRenderedPageBreak/>
        <w:t>3. Реальное исследование: гостевой заказ Baymard</w:t>
      </w:r>
    </w:p>
    <w:p w14:paraId="2ADACA96" w14:textId="77777777" w:rsidR="007624A7" w:rsidRDefault="00000000">
      <w:r>
        <w:rPr>
          <w:b/>
        </w:rPr>
        <w:t>Досье источника.</w:t>
      </w:r>
      <w:r>
        <w:t xml:space="preserve"> Baymard 17 января 2023 года описал ситуации, в которых участники не замечали guest checkout: мешали неопределенные подписи, слабая визуальная выраженность и расположение ниже видимой области [1]. Приведенные примеры — исторические наблюдения, не актуальный аудит тех же магазинов.</w:t>
      </w:r>
    </w:p>
    <w:p w14:paraId="269AB18A" w14:textId="77777777" w:rsidR="007624A7" w:rsidRDefault="00000000">
      <w:r>
        <w:t>Источник дает конкретные признаки затруднения, но не универсальный процент роста от переноса кнопки. Наличие альтернативы и возможность ее обнаружить — разные условия. Применение требует проверки нового контекста.</w:t>
      </w:r>
    </w:p>
    <w:p w14:paraId="2B302DBA" w14:textId="77777777" w:rsidR="00BA71F9" w:rsidRDefault="00BA71F9"/>
    <w:p w14:paraId="1799B4D5" w14:textId="77777777" w:rsidR="007624A7" w:rsidRDefault="00000000">
      <w:pPr>
        <w:pStyle w:val="21"/>
      </w:pPr>
      <w:r>
        <w:t>Авторский разбор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81"/>
        <w:gridCol w:w="5914"/>
      </w:tblGrid>
      <w:tr w:rsidR="007624A7" w14:paraId="28E9857A" w14:textId="77777777">
        <w:trPr>
          <w:cantSplit/>
          <w:tblHeader/>
          <w:jc w:val="center"/>
        </w:trPr>
        <w:tc>
          <w:tcPr>
            <w:tcW w:w="3781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BAFD9B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Проблема</w:t>
            </w:r>
          </w:p>
        </w:tc>
        <w:tc>
          <w:tcPr>
            <w:tcW w:w="5914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A02648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 к проекту</w:t>
            </w:r>
          </w:p>
        </w:tc>
      </w:tr>
      <w:tr w:rsidR="007624A7" w14:paraId="467A224D" w14:textId="77777777">
        <w:trPr>
          <w:cantSplit/>
          <w:jc w:val="center"/>
        </w:trPr>
        <w:tc>
          <w:tcPr>
            <w:tcW w:w="378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B273B0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Непонятная подпись</w:t>
            </w:r>
          </w:p>
        </w:tc>
        <w:tc>
          <w:tcPr>
            <w:tcW w:w="59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0CDCA9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Какой результат ожидает человек?</w:t>
            </w:r>
          </w:p>
        </w:tc>
      </w:tr>
      <w:tr w:rsidR="007624A7" w14:paraId="45CC824F" w14:textId="77777777">
        <w:trPr>
          <w:cantSplit/>
          <w:jc w:val="center"/>
        </w:trPr>
        <w:tc>
          <w:tcPr>
            <w:tcW w:w="378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82B4D2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Слабый акцент</w:t>
            </w:r>
          </w:p>
        </w:tc>
        <w:tc>
          <w:tcPr>
            <w:tcW w:w="591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5FB5C0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Можно ли заметить допустимый путь?</w:t>
            </w:r>
          </w:p>
        </w:tc>
      </w:tr>
      <w:tr w:rsidR="007624A7" w14:paraId="49817BAF" w14:textId="77777777">
        <w:trPr>
          <w:cantSplit/>
          <w:jc w:val="center"/>
        </w:trPr>
        <w:tc>
          <w:tcPr>
            <w:tcW w:w="3781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AFD868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Ниже области просмотра</w:t>
            </w:r>
          </w:p>
        </w:tc>
        <w:tc>
          <w:tcPr>
            <w:tcW w:w="591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20DE11A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Понимает ли посетитель, что есть альтернатива?</w:t>
            </w:r>
          </w:p>
        </w:tc>
      </w:tr>
      <w:tr w:rsidR="007624A7" w14:paraId="30962F68" w14:textId="77777777">
        <w:trPr>
          <w:cantSplit/>
          <w:jc w:val="center"/>
        </w:trPr>
        <w:tc>
          <w:tcPr>
            <w:tcW w:w="3781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72CF3B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Конкурирующие действия</w:t>
            </w:r>
          </w:p>
        </w:tc>
        <w:tc>
          <w:tcPr>
            <w:tcW w:w="591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A84B810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принимается ли регистрация за обязательную?</w:t>
            </w:r>
          </w:p>
        </w:tc>
      </w:tr>
    </w:tbl>
    <w:p w14:paraId="0CA56A59" w14:textId="77777777" w:rsidR="007624A7" w:rsidRDefault="007624A7">
      <w:pPr>
        <w:spacing w:after="20" w:line="60" w:lineRule="exact"/>
      </w:pPr>
    </w:p>
    <w:p w14:paraId="10140736" w14:textId="77777777" w:rsidR="00BA71F9" w:rsidRDefault="00BA71F9"/>
    <w:p w14:paraId="40ED8956" w14:textId="7257097D" w:rsidR="007624A7" w:rsidRDefault="00000000">
      <w:r>
        <w:t>Для «Точки практики» можно явно обозначить заявку без регистрации, если это соответствует реальному процессу. Но нельзя называть ее «гостевой покупкой», когда оплаты нет: нужно сохранить точный язык услуги.</w:t>
      </w:r>
    </w:p>
    <w:p w14:paraId="73BA7A23" w14:textId="77777777" w:rsidR="007624A7" w:rsidRDefault="00000000">
      <w:r>
        <w:t>Экран проверяется на задаче: человек хочет отправить одну заявку и не создавать аккаунт. Фиксируют выбор, ожидание и затруднение. Вопрос «вы видите гостевую кнопку?» уже раскрывает нужный вариант и не подходит для исходной проверки.</w:t>
      </w:r>
    </w:p>
    <w:p w14:paraId="53EC7F02" w14:textId="77777777" w:rsidR="007624A7" w:rsidRDefault="00000000">
      <w:r>
        <w:t>Внешнее сходство не является достаточным переносом. Магазин с повторными покупками имеет другие причины предлагать кабинет. Учебный центр может обойтись контактом и доступным порядком уточнения. Решение объясняет компромисс.</w:t>
      </w:r>
    </w:p>
    <w:p w14:paraId="32D157F4" w14:textId="77777777" w:rsidR="007624A7" w:rsidRDefault="00000000">
      <w:r>
        <w:t>Нужно также наблюдать дальнейшие ошибки. Более заметный путь полезен, если он сохраняет понимание условий. Если после упрощения растут неправильные заявки, решение требует доработки, даже при большем числе отправок.</w:t>
      </w:r>
    </w:p>
    <w:p w14:paraId="2427F885" w14:textId="77777777" w:rsidR="007624A7" w:rsidRDefault="00000000">
      <w:pPr>
        <w:shd w:val="clear" w:color="auto" w:fill="EAF2F2"/>
        <w:spacing w:before="100" w:after="80"/>
      </w:pPr>
      <w:r>
        <w:rPr>
          <w:rFonts w:ascii="Arial" w:eastAsia="Arial" w:hAnsi="Arial" w:cs="Arial"/>
          <w:sz w:val="21"/>
        </w:rPr>
        <w:t>Доступный путь должен быть не только технически существующим, но и понятным как допустимый выбор.</w:t>
      </w:r>
    </w:p>
    <w:p w14:paraId="2C75C7BB" w14:textId="77777777" w:rsidR="007624A7" w:rsidRDefault="00000000">
      <w:pPr>
        <w:pStyle w:val="1"/>
        <w:pageBreakBefore/>
      </w:pPr>
      <w:r>
        <w:lastRenderedPageBreak/>
        <w:t>4. Учебная коммерческая страница</w:t>
      </w:r>
    </w:p>
    <w:p w14:paraId="3D7C1A5D" w14:textId="77777777" w:rsidR="007624A7" w:rsidRDefault="00000000">
      <w:r>
        <w:t>Условное занятие длится два часа, стоит 9 000 тг и подходит новичку со смартфоном. Все сведения вымышлены. Даты в макете выбираются как учебные и не представляют реальное расписание.</w:t>
      </w:r>
    </w:p>
    <w:p w14:paraId="28573765" w14:textId="77777777" w:rsidR="00BA71F9" w:rsidRDefault="00BA71F9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4169"/>
        <w:gridCol w:w="3393"/>
      </w:tblGrid>
      <w:tr w:rsidR="007624A7" w14:paraId="6810A689" w14:textId="77777777">
        <w:trPr>
          <w:cantSplit/>
          <w:tblHeader/>
          <w:jc w:val="center"/>
        </w:trPr>
        <w:tc>
          <w:tcPr>
            <w:tcW w:w="2133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0C3BEC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Блок</w:t>
            </w:r>
          </w:p>
        </w:tc>
        <w:tc>
          <w:tcPr>
            <w:tcW w:w="4169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63BA48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Содержание</w:t>
            </w:r>
          </w:p>
        </w:tc>
        <w:tc>
          <w:tcPr>
            <w:tcW w:w="3393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EE2510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Зачем</w:t>
            </w:r>
          </w:p>
        </w:tc>
      </w:tr>
      <w:tr w:rsidR="007624A7" w14:paraId="5E962539" w14:textId="77777777">
        <w:trPr>
          <w:cantSplit/>
          <w:jc w:val="center"/>
        </w:trPr>
        <w:tc>
          <w:tcPr>
            <w:tcW w:w="213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1D1B9CC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Заголовок</w:t>
            </w:r>
          </w:p>
        </w:tc>
        <w:tc>
          <w:tcPr>
            <w:tcW w:w="416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5D1B3C1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Предметная фотография на смартфон</w:t>
            </w:r>
          </w:p>
        </w:tc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E9DB7E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Совпадение задачи</w:t>
            </w:r>
          </w:p>
        </w:tc>
      </w:tr>
      <w:tr w:rsidR="007624A7" w14:paraId="3FA896BF" w14:textId="77777777">
        <w:trPr>
          <w:cantSplit/>
          <w:jc w:val="center"/>
        </w:trPr>
        <w:tc>
          <w:tcPr>
            <w:tcW w:w="21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1EDB3E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Краткое описание</w:t>
            </w:r>
          </w:p>
        </w:tc>
        <w:tc>
          <w:tcPr>
            <w:tcW w:w="416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CDA3B4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Свет, композиция, практика</w:t>
            </w:r>
          </w:p>
        </w:tc>
        <w:tc>
          <w:tcPr>
            <w:tcW w:w="339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0E037D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Состав результата</w:t>
            </w:r>
          </w:p>
        </w:tc>
      </w:tr>
      <w:tr w:rsidR="007624A7" w14:paraId="30053C1F" w14:textId="77777777">
        <w:trPr>
          <w:cantSplit/>
          <w:jc w:val="center"/>
        </w:trPr>
        <w:tc>
          <w:tcPr>
            <w:tcW w:w="213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ABEA0A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Условия</w:t>
            </w:r>
          </w:p>
        </w:tc>
        <w:tc>
          <w:tcPr>
            <w:tcW w:w="416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B3E5480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Новичок; 2 часа; 9 000 тг</w:t>
            </w:r>
          </w:p>
        </w:tc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3CAEA9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Сравнение</w:t>
            </w:r>
          </w:p>
        </w:tc>
      </w:tr>
      <w:tr w:rsidR="007624A7" w14:paraId="21305012" w14:textId="77777777">
        <w:trPr>
          <w:cantSplit/>
          <w:jc w:val="center"/>
        </w:trPr>
        <w:tc>
          <w:tcPr>
            <w:tcW w:w="21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E049FA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Подготовка</w:t>
            </w:r>
          </w:p>
        </w:tc>
        <w:tc>
          <w:tcPr>
            <w:tcW w:w="416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82D80E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Заряженный смартфон</w:t>
            </w:r>
          </w:p>
        </w:tc>
        <w:tc>
          <w:tcPr>
            <w:tcW w:w="339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A781ED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Нет ложной необходимости камеры</w:t>
            </w:r>
          </w:p>
        </w:tc>
      </w:tr>
      <w:tr w:rsidR="007624A7" w14:paraId="43983AB1" w14:textId="77777777">
        <w:trPr>
          <w:cantSplit/>
          <w:jc w:val="center"/>
        </w:trPr>
        <w:tc>
          <w:tcPr>
            <w:tcW w:w="213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57C7663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Сеанс</w:t>
            </w:r>
          </w:p>
        </w:tc>
        <w:tc>
          <w:tcPr>
            <w:tcW w:w="4169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D6A87B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Учебная дата и доступность</w:t>
            </w:r>
          </w:p>
        </w:tc>
        <w:tc>
          <w:tcPr>
            <w:tcW w:w="3393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0A3B78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Конкретизация</w:t>
            </w:r>
          </w:p>
        </w:tc>
      </w:tr>
      <w:tr w:rsidR="007624A7" w14:paraId="62DF7859" w14:textId="77777777">
        <w:trPr>
          <w:cantSplit/>
          <w:jc w:val="center"/>
        </w:trPr>
        <w:tc>
          <w:tcPr>
            <w:tcW w:w="213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1078CF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Заявка</w:t>
            </w:r>
          </w:p>
        </w:tc>
        <w:tc>
          <w:tcPr>
            <w:tcW w:w="4169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F7753E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гарантирует место</w:t>
            </w:r>
          </w:p>
        </w:tc>
        <w:tc>
          <w:tcPr>
            <w:tcW w:w="3393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598F69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Точное ожидание</w:t>
            </w:r>
          </w:p>
        </w:tc>
      </w:tr>
    </w:tbl>
    <w:p w14:paraId="3218D9EE" w14:textId="77777777" w:rsidR="007624A7" w:rsidRDefault="007624A7">
      <w:pPr>
        <w:spacing w:after="20" w:line="60" w:lineRule="exact"/>
      </w:pPr>
    </w:p>
    <w:p w14:paraId="31A4124A" w14:textId="77777777" w:rsidR="00BA71F9" w:rsidRDefault="00BA71F9"/>
    <w:p w14:paraId="7E6D5301" w14:textId="34F4E28D" w:rsidR="007624A7" w:rsidRDefault="00000000">
      <w:r>
        <w:t>Сначала спроектируйте содержание без иллюстраций. Если уже на этом этапе человек не понимает предложение, визуальное оформление не устранит логическую неполноту. Затем применяются иерархия, типографика и визуальные правила.</w:t>
      </w:r>
    </w:p>
    <w:p w14:paraId="43163B82" w14:textId="77777777" w:rsidR="007624A7" w:rsidRDefault="00000000">
      <w:r>
        <w:t>FAQ полезен для действительно возникающих вопросов, но не заменяет основную информацию. Полная цена не должна находиться только в раскрываемом ответе. «Часто задаваемое» не означает «можно скрыть существенное».</w:t>
      </w:r>
    </w:p>
    <w:p w14:paraId="46F5C4AA" w14:textId="77777777" w:rsidR="007624A7" w:rsidRDefault="00000000">
      <w:pPr>
        <w:pStyle w:val="21"/>
      </w:pPr>
      <w:r>
        <w:t>Условия проверки</w:t>
      </w:r>
    </w:p>
    <w:p w14:paraId="5D8690D0" w14:textId="77777777" w:rsidR="007624A7" w:rsidRDefault="00000000">
      <w:r>
        <w:t>Участник объясняет, кому подходит занятие, что нужно принести, сколько заплатить и что произойдет после заявки. Фиксируются правильность и источник вывода. Простое «все понятно» не дает этих сведений.</w:t>
      </w:r>
    </w:p>
    <w:p w14:paraId="0E6E5A5A" w14:textId="77777777" w:rsidR="007624A7" w:rsidRDefault="00000000">
      <w:r>
        <w:t>Если один человек ожидает профессиональную камеру, проверьте фото и текст вместе: изображение оборудования может создавать впечатление, противоречащее формулировке. Коммуникация возникает из сочетания, а не только из заголовка.</w:t>
      </w:r>
    </w:p>
    <w:p w14:paraId="3A8CD98E" w14:textId="77777777" w:rsidR="007624A7" w:rsidRDefault="00000000">
      <w:r>
        <w:t>Все коммерческие обещания получают владельца и статус проверки. В учебном прототипе они являются согласованными допущениями. Перед реальным использованием каждый факт подтверждается, а не сохраняется автоматически из макета.</w:t>
      </w:r>
    </w:p>
    <w:p w14:paraId="4882F287" w14:textId="77777777" w:rsidR="007624A7" w:rsidRDefault="00000000">
      <w:pPr>
        <w:pStyle w:val="1"/>
        <w:pageBreakBefore/>
      </w:pPr>
      <w:r>
        <w:lastRenderedPageBreak/>
        <w:t>5. Конверсия и качество результата</w:t>
      </w:r>
    </w:p>
    <w:p w14:paraId="629F0BFE" w14:textId="77777777" w:rsidR="007624A7" w:rsidRDefault="00000000">
      <w:r>
        <w:t>Определите, что считается обращением и какой знаменатель используется. Заявки на посещение страницы, пользователей и рекламные клики дают разные доли. При сравнении сохраняют период, источник и правила исключения.</w:t>
      </w:r>
    </w:p>
    <w:p w14:paraId="0A9BFF25" w14:textId="77777777" w:rsidR="007624A7" w:rsidRDefault="00000000">
      <w:r>
        <w:t>Условно 60 заявок из 2000 подходящих посещений дают 3%. Если 15 заявок содержат существенную ошибку ожидания, доля таких заявок — 25%, а не 0,75% «качества». Последнее число относилось бы к другому знаменателю и требует отдельного смысла.</w:t>
      </w:r>
    </w:p>
    <w:p w14:paraId="09F8987C" w14:textId="77777777" w:rsidR="00BA71F9" w:rsidRDefault="00BA71F9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24"/>
        <w:gridCol w:w="3296"/>
        <w:gridCol w:w="3975"/>
      </w:tblGrid>
      <w:tr w:rsidR="007624A7" w14:paraId="0B3FA0DD" w14:textId="77777777">
        <w:trPr>
          <w:cantSplit/>
          <w:tblHeader/>
          <w:jc w:val="center"/>
        </w:trPr>
        <w:tc>
          <w:tcPr>
            <w:tcW w:w="2424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97E930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Тип</w:t>
            </w:r>
          </w:p>
        </w:tc>
        <w:tc>
          <w:tcPr>
            <w:tcW w:w="3296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D9997F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Пример</w:t>
            </w:r>
          </w:p>
        </w:tc>
        <w:tc>
          <w:tcPr>
            <w:tcW w:w="3975" w:type="dxa"/>
            <w:shd w:val="clear" w:color="auto" w:fill="203B53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E28CC8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Назначение</w:t>
            </w:r>
          </w:p>
        </w:tc>
      </w:tr>
      <w:tr w:rsidR="007624A7" w14:paraId="2F8DC060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0AE759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Основной</w:t>
            </w:r>
          </w:p>
        </w:tc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45A097C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Подходящие заявки</w:t>
            </w:r>
          </w:p>
        </w:tc>
        <w:tc>
          <w:tcPr>
            <w:tcW w:w="397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2AD72D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Проверить полезное действие</w:t>
            </w:r>
          </w:p>
        </w:tc>
      </w:tr>
      <w:tr w:rsidR="007624A7" w14:paraId="02B2D9B4" w14:textId="77777777">
        <w:trPr>
          <w:cantSplit/>
          <w:jc w:val="center"/>
        </w:trPr>
        <w:tc>
          <w:tcPr>
            <w:tcW w:w="24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19F358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Диагностический</w:t>
            </w:r>
          </w:p>
        </w:tc>
        <w:tc>
          <w:tcPr>
            <w:tcW w:w="329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997A52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Нахождение условий</w:t>
            </w:r>
          </w:p>
        </w:tc>
        <w:tc>
          <w:tcPr>
            <w:tcW w:w="397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F65F4D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Найти этап затруднения</w:t>
            </w:r>
          </w:p>
        </w:tc>
      </w:tr>
      <w:tr w:rsidR="007624A7" w14:paraId="0CBFAD3D" w14:textId="77777777">
        <w:trPr>
          <w:cantSplit/>
          <w:jc w:val="center"/>
        </w:trPr>
        <w:tc>
          <w:tcPr>
            <w:tcW w:w="2424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5681DE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Защитный</w:t>
            </w:r>
          </w:p>
        </w:tc>
        <w:tc>
          <w:tcPr>
            <w:tcW w:w="3296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C0F352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Ошибочное ожидание места</w:t>
            </w:r>
          </w:p>
        </w:tc>
        <w:tc>
          <w:tcPr>
            <w:tcW w:w="3975" w:type="dxa"/>
            <w:shd w:val="clear" w:color="auto" w:fill="F0F4F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443812E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Не улучшать количество за счет непонимания</w:t>
            </w:r>
          </w:p>
        </w:tc>
      </w:tr>
      <w:tr w:rsidR="007624A7" w14:paraId="2CBE92E5" w14:textId="77777777">
        <w:trPr>
          <w:cantSplit/>
          <w:jc w:val="center"/>
        </w:trPr>
        <w:tc>
          <w:tcPr>
            <w:tcW w:w="2424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65A360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Экономический</w:t>
            </w:r>
          </w:p>
        </w:tc>
        <w:tc>
          <w:tcPr>
            <w:tcW w:w="3296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3965C7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Вклад после обработки</w:t>
            </w:r>
          </w:p>
        </w:tc>
        <w:tc>
          <w:tcPr>
            <w:tcW w:w="3975" w:type="dxa"/>
            <w:shd w:val="clear" w:color="auto" w:fill="FFFFF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025D36" w14:textId="77777777" w:rsidR="007624A7" w:rsidRDefault="00000000">
            <w:pPr>
              <w:spacing w:after="0" w:line="247" w:lineRule="auto"/>
            </w:pPr>
            <w:r>
              <w:rPr>
                <w:rFonts w:ascii="Arial" w:eastAsia="Arial" w:hAnsi="Arial" w:cs="Arial"/>
                <w:sz w:val="20"/>
              </w:rPr>
              <w:t>Оценить ресурсную устойчивость</w:t>
            </w:r>
          </w:p>
        </w:tc>
      </w:tr>
    </w:tbl>
    <w:p w14:paraId="26163076" w14:textId="77777777" w:rsidR="007624A7" w:rsidRDefault="007624A7">
      <w:pPr>
        <w:spacing w:after="20" w:line="60" w:lineRule="exact"/>
      </w:pPr>
    </w:p>
    <w:p w14:paraId="6083D01B" w14:textId="77777777" w:rsidR="00BA71F9" w:rsidRDefault="00BA71F9"/>
    <w:p w14:paraId="3C4DED78" w14:textId="20FE8D6A" w:rsidR="007624A7" w:rsidRDefault="00000000">
      <w:r>
        <w:t>Качество обращения нельзя определять задним числом только по удобству компании. Правило должно быть связано с предложением и понятным поведением. Отказ после честного изучения условий может быть правильным результатом для неподходящего посетителя.</w:t>
      </w:r>
    </w:p>
    <w:p w14:paraId="149BDCD4" w14:textId="77777777" w:rsidR="007624A7" w:rsidRDefault="00000000">
      <w:r>
        <w:t>Сравнение до–после не изолирует дизайн. Изменяются реклама, наличие, аудитория и цена. Экспериментальная логика предыдущей темы помогает выбирать основание. Нельзя приписывать все продажи странице только потому, что она находилась на пути.</w:t>
      </w:r>
    </w:p>
    <w:p w14:paraId="3A736863" w14:textId="77777777" w:rsidR="007624A7" w:rsidRDefault="00000000">
      <w:r>
        <w:t>Этическая приемка проверяет скрытые платежи, ложное социальное доказательство, фиктивную срочность и препятствия отказу. Увеличение одного показателя не оправдывает вводящее в заблуждение содержание.</w:t>
      </w:r>
    </w:p>
    <w:p w14:paraId="432824D1" w14:textId="3BD38948" w:rsidR="007624A7" w:rsidRDefault="00000000" w:rsidP="00BA71F9">
      <w:r>
        <w:t>Итоговое решение связывает количественное и качественное. Если обращения выросли, но статус неверно понят, сначала исправляют коммуникацию. Страница должна помогать осмысленному выбору, а не просто добиваться отправки.</w:t>
      </w:r>
    </w:p>
    <w:sectPr w:rsidR="007624A7" w:rsidSect="00034616">
      <w:headerReference w:type="default" r:id="rId8"/>
      <w:footerReference w:type="default" r:id="rId9"/>
      <w:pgSz w:w="11906" w:h="16838"/>
      <w:pgMar w:top="1049" w:right="1106" w:bottom="935" w:left="1106" w:header="397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DCD17" w14:textId="77777777" w:rsidR="00154D52" w:rsidRDefault="00154D52">
      <w:pPr>
        <w:spacing w:after="0" w:line="240" w:lineRule="auto"/>
      </w:pPr>
      <w:r>
        <w:separator/>
      </w:r>
    </w:p>
  </w:endnote>
  <w:endnote w:type="continuationSeparator" w:id="0">
    <w:p w14:paraId="583A838D" w14:textId="77777777" w:rsidR="00154D52" w:rsidRDefault="00154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0AACF" w14:textId="27F94500" w:rsidR="007624A7" w:rsidRDefault="007624A7">
    <w:pPr>
      <w:pStyle w:val="a7"/>
      <w:tabs>
        <w:tab w:val="right" w:pos="969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FDE526" w14:textId="77777777" w:rsidR="00154D52" w:rsidRDefault="00154D52">
      <w:pPr>
        <w:spacing w:after="0" w:line="240" w:lineRule="auto"/>
      </w:pPr>
      <w:r>
        <w:separator/>
      </w:r>
    </w:p>
  </w:footnote>
  <w:footnote w:type="continuationSeparator" w:id="0">
    <w:p w14:paraId="65F419E2" w14:textId="77777777" w:rsidR="00154D52" w:rsidRDefault="00154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F7D57A" w14:textId="3B4A2EFC" w:rsidR="007624A7" w:rsidRDefault="007624A7">
    <w:pPr>
      <w:pStyle w:val="a5"/>
      <w:pBdr>
        <w:bottom w:val="single" w:sz="4" w:space="0" w:color="CBD6DB"/>
      </w:pBdr>
      <w:tabs>
        <w:tab w:val="right" w:pos="969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9744764">
    <w:abstractNumId w:val="8"/>
  </w:num>
  <w:num w:numId="2" w16cid:durableId="303699485">
    <w:abstractNumId w:val="6"/>
  </w:num>
  <w:num w:numId="3" w16cid:durableId="799112577">
    <w:abstractNumId w:val="5"/>
  </w:num>
  <w:num w:numId="4" w16cid:durableId="1273512602">
    <w:abstractNumId w:val="4"/>
  </w:num>
  <w:num w:numId="5" w16cid:durableId="123038020">
    <w:abstractNumId w:val="7"/>
  </w:num>
  <w:num w:numId="6" w16cid:durableId="1469663845">
    <w:abstractNumId w:val="3"/>
  </w:num>
  <w:num w:numId="7" w16cid:durableId="336805767">
    <w:abstractNumId w:val="2"/>
  </w:num>
  <w:num w:numId="8" w16cid:durableId="511726876">
    <w:abstractNumId w:val="1"/>
  </w:num>
  <w:num w:numId="9" w16cid:durableId="1042244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4D52"/>
    <w:rsid w:val="0029639D"/>
    <w:rsid w:val="00326F90"/>
    <w:rsid w:val="00501E0D"/>
    <w:rsid w:val="007624A7"/>
    <w:rsid w:val="00AA1D8D"/>
    <w:rsid w:val="00B47730"/>
    <w:rsid w:val="00BA71F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40118C"/>
  <w14:defaultImageDpi w14:val="300"/>
  <w15:docId w15:val="{2A97F9A6-F1D8-4892-8C56-89B484A82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202A33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40"/>
      <w:outlineLvl w:val="0"/>
    </w:pPr>
    <w:rPr>
      <w:rFonts w:asciiTheme="majorHAnsi" w:eastAsiaTheme="majorEastAsia" w:hAnsiTheme="majorHAnsi" w:cstheme="majorBidi"/>
      <w:b/>
      <w:bCs/>
      <w:color w:val="203B53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/>
      <w:b/>
      <w:bCs/>
      <w:color w:val="24636B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/>
      <w:b/>
      <w:color w:val="203B53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1296</Words>
  <Characters>7391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Коммерческие страницы: предложение, доверие и конверсия</dc:title>
  <dc:subject>Веб-дизайн. Лекция 14</dc:subject>
  <dc:creator>Учебные материалы</dc:creator>
  <cp:keywords/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2026-10-07T13:43:00Z</dcterms:modified>
  <cp:category/>
  <dc:language>ru-RU</dc:language>
</cp:coreProperties>
</file>