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4137" w14:textId="77777777" w:rsidR="00773BC8" w:rsidRDefault="00000000" w:rsidP="00773BC8">
      <w:pPr>
        <w:pStyle w:val="aa"/>
      </w:pPr>
      <w:r>
        <w:t>Веб-типографика и тексты интерфейса</w:t>
      </w:r>
    </w:p>
    <w:p w14:paraId="08867E34" w14:textId="77777777" w:rsidR="00773BC8" w:rsidRDefault="00773BC8" w:rsidP="00773BC8">
      <w:pPr>
        <w:pStyle w:val="aa"/>
      </w:pPr>
    </w:p>
    <w:p w14:paraId="1E5DA2A3" w14:textId="05C598E0" w:rsidR="006F08E8" w:rsidRDefault="00000000" w:rsidP="00773BC8">
      <w:pPr>
        <w:pStyle w:val="aa"/>
      </w:pPr>
      <w:r>
        <w:t>1. Типографическая система</w:t>
      </w:r>
    </w:p>
    <w:p w14:paraId="09350EED" w14:textId="77777777" w:rsidR="006F08E8" w:rsidRDefault="00000000">
      <w:r>
        <w:t>Гарнитура — рисунок знаков, начертание — разновидность внутри семейства. Для интерфейса важны роли: заголовок, основной текст, подпись, пояснение. Большое количество шрифтов не гарантирует их различимости.</w:t>
      </w:r>
    </w:p>
    <w:p w14:paraId="7B32F811" w14:textId="77777777" w:rsidR="00773BC8" w:rsidRDefault="00773BC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0"/>
        <w:gridCol w:w="3684"/>
        <w:gridCol w:w="3781"/>
      </w:tblGrid>
      <w:tr w:rsidR="006F08E8" w14:paraId="39B555FB" w14:textId="77777777">
        <w:trPr>
          <w:cantSplit/>
          <w:tblHeader/>
          <w:jc w:val="center"/>
        </w:trPr>
        <w:tc>
          <w:tcPr>
            <w:tcW w:w="223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A470E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Роль</w:t>
            </w:r>
          </w:p>
        </w:tc>
        <w:tc>
          <w:tcPr>
            <w:tcW w:w="368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4BD5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Решение</w:t>
            </w:r>
          </w:p>
        </w:tc>
        <w:tc>
          <w:tcPr>
            <w:tcW w:w="378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6FFFCE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6F08E8" w14:paraId="41A9B1C3" w14:textId="77777777">
        <w:trPr>
          <w:cantSplit/>
          <w:jc w:val="center"/>
        </w:trPr>
        <w:tc>
          <w:tcPr>
            <w:tcW w:w="223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B05758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Заголовок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3D105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Главный уровень, допустимы переносы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65EA5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обрезано ли название?</w:t>
            </w:r>
          </w:p>
        </w:tc>
      </w:tr>
      <w:tr w:rsidR="006F08E8" w14:paraId="1D6A6E80" w14:textId="77777777">
        <w:trPr>
          <w:cantSplit/>
          <w:jc w:val="center"/>
        </w:trPr>
        <w:tc>
          <w:tcPr>
            <w:tcW w:w="22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156D2B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Подзаголовок</w:t>
            </w:r>
          </w:p>
        </w:tc>
        <w:tc>
          <w:tcPr>
            <w:tcW w:w="36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09D09B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Стабильные размер и отступы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496CF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Понятна ли структура?</w:t>
            </w:r>
          </w:p>
        </w:tc>
      </w:tr>
      <w:tr w:rsidR="006F08E8" w14:paraId="0E3D4EEB" w14:textId="77777777">
        <w:trPr>
          <w:cantSplit/>
          <w:jc w:val="center"/>
        </w:trPr>
        <w:tc>
          <w:tcPr>
            <w:tcW w:w="223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DDC2D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Основной текст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45C3F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Умеренная ширина и удобный размер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3DC0B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Можно ли читать без усилий?</w:t>
            </w:r>
          </w:p>
        </w:tc>
      </w:tr>
      <w:tr w:rsidR="006F08E8" w14:paraId="6E17B5F9" w14:textId="77777777">
        <w:trPr>
          <w:cantSplit/>
          <w:jc w:val="center"/>
        </w:trPr>
        <w:tc>
          <w:tcPr>
            <w:tcW w:w="22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93455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Подпись</w:t>
            </w:r>
          </w:p>
        </w:tc>
        <w:tc>
          <w:tcPr>
            <w:tcW w:w="36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98C1A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Постоянно видима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09884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Смысл не исчезает при наборе</w:t>
            </w:r>
          </w:p>
        </w:tc>
      </w:tr>
      <w:tr w:rsidR="006F08E8" w14:paraId="60FBA832" w14:textId="77777777">
        <w:trPr>
          <w:cantSplit/>
          <w:jc w:val="center"/>
        </w:trPr>
        <w:tc>
          <w:tcPr>
            <w:tcW w:w="223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AD103D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Пояснение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4B485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Меньший акцент, достаточная читаемость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E53A4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скрыто ли важное условие?</w:t>
            </w:r>
          </w:p>
        </w:tc>
      </w:tr>
    </w:tbl>
    <w:p w14:paraId="31707C7A" w14:textId="77777777" w:rsidR="006F08E8" w:rsidRDefault="006F08E8">
      <w:pPr>
        <w:spacing w:after="20" w:line="60" w:lineRule="exact"/>
      </w:pPr>
    </w:p>
    <w:p w14:paraId="21EB1778" w14:textId="77777777" w:rsidR="00773BC8" w:rsidRDefault="00773BC8"/>
    <w:p w14:paraId="436426E4" w14:textId="6D639F81" w:rsidR="006F08E8" w:rsidRDefault="00000000">
      <w:r>
        <w:t>Шкала размеров ограничена, но не механична. Математически красивое соотношение может сделать заголовок слишком крупным на телефоне. Выбранные значения проверяют на содержании и разных состояниях, а не только на типографическом листе.</w:t>
      </w:r>
    </w:p>
    <w:p w14:paraId="7434D91C" w14:textId="77777777" w:rsidR="006F08E8" w:rsidRDefault="00000000">
      <w:r>
        <w:t>Длина строки и межстрочный интервал связаны. Плотная широкая строка затрудняет переход; огромные интервалы в узкой колонке разрывают сообщение. Начните с умеренного ограничения и проверьте чтение, не объявляя одно число символов универсальным.</w:t>
      </w:r>
    </w:p>
    <w:p w14:paraId="2A79F0AC" w14:textId="77777777" w:rsidR="006F08E8" w:rsidRDefault="00000000">
      <w:r>
        <w:t>Digital.gov обсуждает читаемость и различимость знаков при выборе типографики [1]. Проверьте похожие буквы, цифры и знаки в реальных размерах. Название гарнитуры не гарантирует качество конкретной комбинации экрана, контраста и строки.</w:t>
      </w:r>
    </w:p>
    <w:p w14:paraId="2312C6BC" w14:textId="77777777" w:rsidR="006F08E8" w:rsidRDefault="00000000">
      <w:r>
        <w:t>Существенные условия не становятся «мелким шрифтом» ради рекламы. Визуальная второстепенность и смысловая незначимость различаются. Цена, статус и ограничения остаются доступными для решения.</w:t>
      </w:r>
    </w:p>
    <w:p w14:paraId="225EE261" w14:textId="77777777" w:rsidR="006F08E8" w:rsidRDefault="00000000">
      <w:r>
        <w:t>Иерархия также должна существовать в структуре документа. Визуально крупный абзац не становится заголовком автоматически. Семантический уровень и внешний размер согласуются, но не подменяют друг друга.</w:t>
      </w:r>
    </w:p>
    <w:p w14:paraId="2D1F730A" w14:textId="77777777" w:rsidR="006F08E8" w:rsidRDefault="00000000">
      <w:pPr>
        <w:pStyle w:val="1"/>
        <w:pageBreakBefore/>
      </w:pPr>
      <w:r>
        <w:lastRenderedPageBreak/>
        <w:t>2. Текст как часть действия</w:t>
      </w:r>
    </w:p>
    <w:p w14:paraId="2A8D0B45" w14:textId="77777777" w:rsidR="006F08E8" w:rsidRDefault="00000000">
      <w:r>
        <w:t>Подпись объясняет действие: «Выбрать дату», «Отправить заявку», «Сохранить изменения». Универсальное «ОК» не заменяет описание значимого последствия. Точность особенно важна, когда следующий шаг меняет статус или передает данные.</w:t>
      </w:r>
    </w:p>
    <w:p w14:paraId="5FAD8FF7" w14:textId="77777777" w:rsidR="00773BC8" w:rsidRDefault="00773BC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7"/>
        <w:gridCol w:w="4363"/>
        <w:gridCol w:w="3005"/>
      </w:tblGrid>
      <w:tr w:rsidR="006F08E8" w14:paraId="75742ACC" w14:textId="77777777">
        <w:trPr>
          <w:cantSplit/>
          <w:tblHeader/>
          <w:jc w:val="center"/>
        </w:trPr>
        <w:tc>
          <w:tcPr>
            <w:tcW w:w="232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61839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Слабая версия</w:t>
            </w:r>
          </w:p>
        </w:tc>
        <w:tc>
          <w:tcPr>
            <w:tcW w:w="436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0C51D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Рабочая версия</w:t>
            </w:r>
          </w:p>
        </w:tc>
        <w:tc>
          <w:tcPr>
            <w:tcW w:w="300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BBCBB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Причина</w:t>
            </w:r>
          </w:p>
        </w:tc>
      </w:tr>
      <w:tr w:rsidR="006F08E8" w14:paraId="45A42F71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9ABE49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Успешно!</w:t>
            </w:r>
          </w:p>
        </w:tc>
        <w:tc>
          <w:tcPr>
            <w:tcW w:w="436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2B8D5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Заявка получена. Место еще не подтверждено.</w:t>
            </w:r>
          </w:p>
        </w:tc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F993B4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Названы результат и граница</w:t>
            </w:r>
          </w:p>
        </w:tc>
      </w:tr>
      <w:tr w:rsidR="006F08E8" w14:paraId="413C70BB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CCDBA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Ошибка данных</w:t>
            </w:r>
          </w:p>
        </w:tc>
        <w:tc>
          <w:tcPr>
            <w:tcW w:w="436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D43F1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Проверьте адрес электронной почты.</w:t>
            </w:r>
          </w:p>
        </w:tc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4598D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Понятно исправление</w:t>
            </w:r>
          </w:p>
        </w:tc>
      </w:tr>
      <w:tr w:rsidR="006F08E8" w14:paraId="7AB6E8A4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D8F19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Подробнее</w:t>
            </w:r>
          </w:p>
        </w:tc>
        <w:tc>
          <w:tcPr>
            <w:tcW w:w="436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791C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Программа занятия по фотографии</w:t>
            </w:r>
          </w:p>
        </w:tc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0FE452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Ясен предмет перехода</w:t>
            </w:r>
          </w:p>
        </w:tc>
      </w:tr>
      <w:tr w:rsidR="006F08E8" w14:paraId="78DAD21E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7C706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Бесплатно*</w:t>
            </w:r>
          </w:p>
        </w:tc>
        <w:tc>
          <w:tcPr>
            <w:tcW w:w="436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B1D4E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Запись без оплаты; участие — 9 000 тг.</w:t>
            </w:r>
          </w:p>
        </w:tc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FF0EF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смешаны запись и цена</w:t>
            </w:r>
          </w:p>
        </w:tc>
      </w:tr>
    </w:tbl>
    <w:p w14:paraId="7DBBCC2B" w14:textId="77777777" w:rsidR="006F08E8" w:rsidRDefault="006F08E8">
      <w:pPr>
        <w:spacing w:after="20" w:line="60" w:lineRule="exact"/>
      </w:pPr>
    </w:p>
    <w:p w14:paraId="58D760D4" w14:textId="77777777" w:rsidR="00773BC8" w:rsidRDefault="00773BC8"/>
    <w:p w14:paraId="289496D1" w14:textId="2078E434" w:rsidR="006F08E8" w:rsidRDefault="00000000">
      <w:r>
        <w:t>Ошибка помогает восстановиться, а не обвиняет. Технический код без объяснения недостаточен. Нельзя выдумывать причину: при неизвестном результате отправки указывают неопределенность и способ проверки, а не утверждают, что заявка точно не принята.</w:t>
      </w:r>
    </w:p>
    <w:p w14:paraId="676A99E1" w14:textId="77777777" w:rsidR="006F08E8" w:rsidRDefault="00000000">
      <w:r>
        <w:t>Единый словарь уменьшает неоднозначность. Занятие — содержание; сеанс — дата; заявка — запрос участия. Случайная замена этих слов синонимами может создать несуществующие сущности и ожидания.</w:t>
      </w:r>
    </w:p>
    <w:p w14:paraId="7F9E314A" w14:textId="77777777" w:rsidR="006F08E8" w:rsidRDefault="00000000">
      <w:r>
        <w:t>Тон зависит от ситуации. Приветливое описание уместно, но сообщение о недоступной дате прежде всего ясно. Шутка не заменяет причину и следующий шаг. Доброжелательность выражается уважением и возможностью исправления.</w:t>
      </w:r>
    </w:p>
    <w:p w14:paraId="72D5DAF1" w14:textId="77777777" w:rsidR="006F08E8" w:rsidRDefault="00000000">
      <w:r>
        <w:t>Локализация меняет длину, формат даты и привычное представление сведений. Даже в одном языке двусмысленная числовая дата может мешать неоднородной аудитории. В образцах сохраняют полный смысл и передают правила разработчику.</w:t>
      </w:r>
    </w:p>
    <w:p w14:paraId="113D4185" w14:textId="77777777" w:rsidR="006F08E8" w:rsidRDefault="00000000">
      <w:r>
        <w:t>Редакторская проверка задает вопрос: какое неверное ожидание возможно? Если «вы записаны» обещает место, которого еще нет, проблема не решается сноской. Нужна согласованная формулировка на всем пути.</w:t>
      </w:r>
    </w:p>
    <w:p w14:paraId="7607496E" w14:textId="77777777" w:rsidR="006F08E8" w:rsidRDefault="00000000">
      <w:pPr>
        <w:pStyle w:val="1"/>
        <w:pageBreakBefore/>
      </w:pPr>
      <w:r>
        <w:lastRenderedPageBreak/>
        <w:t>3. Реальная практика: история Public Sans</w:t>
      </w:r>
    </w:p>
    <w:p w14:paraId="1098F10F" w14:textId="77777777" w:rsidR="006F08E8" w:rsidRDefault="00000000">
      <w:r>
        <w:rPr>
          <w:b/>
        </w:rPr>
        <w:t>Досье источников.</w:t>
      </w:r>
      <w:r>
        <w:t xml:space="preserve"> Digital.gov описывает Public Sans как шрифт команды USWDS на основе Libre Franklin и указывает, что активное сопровождение прекращено [1]. FONTLOG содержит историю исправлений знаков, кернинга и отображения [2]. Это историческая практика, а не рекомендация актуально поддерживаемого продукта.</w:t>
      </w:r>
    </w:p>
    <w:p w14:paraId="566475BC" w14:textId="77777777" w:rsidR="006F08E8" w:rsidRDefault="00000000">
      <w:r>
        <w:t>Пример показывает, что работа продолжается после выбора формы букв. Качество зависит от сочетаний и размеров. История исправлений не доказывает пригодность этой гарнитуры для любого сайта или русскоязычного содержания.</w:t>
      </w:r>
    </w:p>
    <w:p w14:paraId="7BEB7393" w14:textId="77777777" w:rsidR="00773BC8" w:rsidRDefault="00773BC8"/>
    <w:p w14:paraId="67058A5B" w14:textId="77777777" w:rsidR="006F08E8" w:rsidRDefault="00000000">
      <w:pPr>
        <w:pStyle w:val="21"/>
      </w:pPr>
      <w:r>
        <w:t>Авторский перенос: тестовый набор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6F08E8" w14:paraId="3E86B001" w14:textId="77777777">
        <w:trPr>
          <w:cantSplit/>
          <w:tblHeader/>
          <w:jc w:val="center"/>
        </w:trPr>
        <w:tc>
          <w:tcPr>
            <w:tcW w:w="484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9B5D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Образец</w:t>
            </w:r>
          </w:p>
        </w:tc>
        <w:tc>
          <w:tcPr>
            <w:tcW w:w="484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147A7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проверяем</w:t>
            </w:r>
          </w:p>
        </w:tc>
      </w:tr>
      <w:tr w:rsidR="006F08E8" w14:paraId="7ED4F14D" w14:textId="77777777">
        <w:trPr>
          <w:cantSplit/>
          <w:jc w:val="center"/>
        </w:trPr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AE42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Предметная фотография на смартфон</w:t>
            </w:r>
          </w:p>
        </w:tc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F016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Длинное название и перенос</w:t>
            </w:r>
          </w:p>
        </w:tc>
      </w:tr>
      <w:tr w:rsidR="006F08E8" w14:paraId="3DBD5114" w14:textId="77777777">
        <w:trPr>
          <w:cantSplit/>
          <w:jc w:val="center"/>
        </w:trPr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A1BF8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Илья, Юлия, Щербаков</w:t>
            </w:r>
          </w:p>
        </w:tc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FE2D2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Кириллические формы</w:t>
            </w:r>
          </w:p>
        </w:tc>
      </w:tr>
      <w:tr w:rsidR="006F08E8" w14:paraId="0BF0070D" w14:textId="77777777">
        <w:trPr>
          <w:cantSplit/>
          <w:jc w:val="center"/>
        </w:trPr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C4E59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1 000 тг · 14:00–16:00</w:t>
            </w:r>
          </w:p>
        </w:tc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67D40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Цифры и единицы</w:t>
            </w:r>
          </w:p>
        </w:tc>
      </w:tr>
      <w:tr w:rsidR="006F08E8" w14:paraId="7255D999" w14:textId="77777777">
        <w:trPr>
          <w:cantSplit/>
          <w:jc w:val="center"/>
        </w:trPr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B288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I l 1 / O 0</w:t>
            </w:r>
          </w:p>
        </w:tc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5DD23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Похожие латинские знаки</w:t>
            </w:r>
          </w:p>
        </w:tc>
      </w:tr>
      <w:tr w:rsidR="006F08E8" w14:paraId="1A6DA413" w14:textId="77777777">
        <w:trPr>
          <w:cantSplit/>
          <w:jc w:val="center"/>
        </w:trPr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9B21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Заявка № 1048 — проверьте адрес</w:t>
            </w:r>
          </w:p>
        </w:tc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16788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Смешанный служебный текст</w:t>
            </w:r>
          </w:p>
        </w:tc>
      </w:tr>
    </w:tbl>
    <w:p w14:paraId="7B3C344E" w14:textId="77777777" w:rsidR="006F08E8" w:rsidRDefault="006F08E8">
      <w:pPr>
        <w:spacing w:after="20" w:line="60" w:lineRule="exact"/>
      </w:pPr>
    </w:p>
    <w:p w14:paraId="1444BDBC" w14:textId="77777777" w:rsidR="00773BC8" w:rsidRDefault="00773BC8"/>
    <w:p w14:paraId="4FAF9882" w14:textId="12BDBE93" w:rsidR="006F08E8" w:rsidRDefault="00000000">
      <w:r>
        <w:t>Покрытие конкретного файла проверяют отдельно. Нельзя предполагать наличие всех символов по названию шрифта. Если часть отображается запасной гарнитурой, ширина и ритм меняются. Не заменяйте неподдерживаемые буквы изображениями.</w:t>
      </w:r>
    </w:p>
    <w:p w14:paraId="1E7A9CF4" w14:textId="77777777" w:rsidR="006F08E8" w:rsidRDefault="00000000">
      <w:r>
        <w:t>Для центра достаточно одного семейства или согласованной пары, если они дают нужные роли. Третья гарнитура должна решать задачу. При сдаче не требуется передавать лицензируемые файлы: объясните доступность просмотра и запасное представление.</w:t>
      </w:r>
    </w:p>
    <w:p w14:paraId="60E3FB6E" w14:textId="77777777" w:rsidR="006F08E8" w:rsidRDefault="00000000">
      <w:r>
        <w:t>Проверьте загрузку и отсутствие основного шрифта. Пока ресурс недоступен, содержание остается читаемым. Технический механизм согласуется с разработчиком; дизайн не должен существовать только в идеальном кадре.</w:t>
      </w:r>
    </w:p>
    <w:p w14:paraId="25318D0B" w14:textId="77777777" w:rsidR="006F08E8" w:rsidRDefault="00000000">
      <w:r>
        <w:t>Полезно сравнить образец в обычном тексте, подсказке и кнопке. Шрифт, удачный для заголовка, может плохо различаться в небольшом служебном размере. Это вопрос фактической пары роль–параметры, а не рейтинга популярных гарнитур.</w:t>
      </w:r>
    </w:p>
    <w:p w14:paraId="78FCAFEA" w14:textId="77777777" w:rsidR="006F08E8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История шрифта дает процесс проверки. Название и популярность не заменяют нужных знаков и условий использования.</w:t>
      </w:r>
    </w:p>
    <w:p w14:paraId="10F5AACF" w14:textId="77777777" w:rsidR="006F08E8" w:rsidRDefault="00000000">
      <w:pPr>
        <w:pStyle w:val="1"/>
        <w:pageBreakBefore/>
      </w:pPr>
      <w:r>
        <w:lastRenderedPageBreak/>
        <w:t>4. Пример типографических правил</w:t>
      </w:r>
    </w:p>
    <w:p w14:paraId="3BA671FC" w14:textId="77777777" w:rsidR="006F08E8" w:rsidRDefault="00000000">
      <w:r>
        <w:t>Далее — авторские стартовые параметры, не стандарт. Основной размер связан с пользовательской настройкой, заголовок меняется в пределах, текст ограничен по ширине. После реализации все проверяется на действительных строках.</w:t>
      </w:r>
    </w:p>
    <w:p w14:paraId="7B6F9F85" w14:textId="77777777" w:rsidR="006F08E8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body {</w:t>
      </w:r>
    </w:p>
    <w:p w14:paraId="04479C65" w14:textId="77777777" w:rsidR="006F08E8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font-family: Arial, sans-serif;</w:t>
      </w:r>
    </w:p>
    <w:p w14:paraId="4A477188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</w:t>
      </w:r>
      <w:r w:rsidRPr="00773BC8">
        <w:rPr>
          <w:rFonts w:ascii="Courier New" w:eastAsia="Courier New" w:hAnsi="Courier New" w:cs="Courier New"/>
          <w:sz w:val="18"/>
          <w:lang w:val="en-US"/>
        </w:rPr>
        <w:t>font-size: 1rem;</w:t>
      </w:r>
    </w:p>
    <w:p w14:paraId="31DB5A01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 w:rsidRPr="00773BC8">
        <w:rPr>
          <w:rFonts w:ascii="Courier New" w:eastAsia="Courier New" w:hAnsi="Courier New" w:cs="Courier New"/>
          <w:sz w:val="18"/>
          <w:lang w:val="en-US"/>
        </w:rPr>
        <w:t xml:space="preserve">  line-height: 1.5;</w:t>
      </w:r>
    </w:p>
    <w:p w14:paraId="4718ABE9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 w:rsidRPr="00773BC8">
        <w:rPr>
          <w:rFonts w:ascii="Courier New" w:eastAsia="Courier New" w:hAnsi="Courier New" w:cs="Courier New"/>
          <w:sz w:val="18"/>
          <w:lang w:val="en-US"/>
        </w:rPr>
        <w:t xml:space="preserve">  overflow-wrap: anywhere;</w:t>
      </w:r>
    </w:p>
    <w:p w14:paraId="1887D16E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 w:rsidRPr="00773BC8">
        <w:rPr>
          <w:rFonts w:ascii="Courier New" w:eastAsia="Courier New" w:hAnsi="Courier New" w:cs="Courier New"/>
          <w:sz w:val="18"/>
          <w:lang w:val="en-US"/>
        </w:rPr>
        <w:t>}</w:t>
      </w:r>
    </w:p>
    <w:p w14:paraId="2D7A1CE3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 w:rsidRPr="00773BC8">
        <w:rPr>
          <w:rFonts w:ascii="Courier New" w:eastAsia="Courier New" w:hAnsi="Courier New" w:cs="Courier New"/>
          <w:sz w:val="18"/>
          <w:lang w:val="en-US"/>
        </w:rPr>
        <w:t>h1 {</w:t>
      </w:r>
    </w:p>
    <w:p w14:paraId="40B30595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 w:rsidRPr="00773BC8">
        <w:rPr>
          <w:rFonts w:ascii="Courier New" w:eastAsia="Courier New" w:hAnsi="Courier New" w:cs="Courier New"/>
          <w:sz w:val="18"/>
          <w:lang w:val="en-US"/>
        </w:rPr>
        <w:t xml:space="preserve">  font-size: </w:t>
      </w: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clamp(</w:t>
      </w:r>
      <w:proofErr w:type="gramEnd"/>
      <w:r w:rsidRPr="00773BC8">
        <w:rPr>
          <w:rFonts w:ascii="Courier New" w:eastAsia="Courier New" w:hAnsi="Courier New" w:cs="Courier New"/>
          <w:sz w:val="18"/>
          <w:lang w:val="en-US"/>
        </w:rPr>
        <w:t>1.8rem, 1.1rem + 2vw, 3rem);</w:t>
      </w:r>
    </w:p>
    <w:p w14:paraId="2EEA0C28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 w:rsidRPr="00773BC8">
        <w:rPr>
          <w:rFonts w:ascii="Courier New" w:eastAsia="Courier New" w:hAnsi="Courier New" w:cs="Courier New"/>
          <w:sz w:val="18"/>
          <w:lang w:val="en-US"/>
        </w:rPr>
        <w:t xml:space="preserve">  line-height: 1.15;</w:t>
      </w:r>
    </w:p>
    <w:p w14:paraId="63E12B01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r w:rsidRPr="00773BC8">
        <w:rPr>
          <w:rFonts w:ascii="Courier New" w:eastAsia="Courier New" w:hAnsi="Courier New" w:cs="Courier New"/>
          <w:sz w:val="18"/>
          <w:lang w:val="en-US"/>
        </w:rPr>
        <w:t>}</w:t>
      </w:r>
    </w:p>
    <w:p w14:paraId="503BA259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.prose</w:t>
      </w:r>
      <w:proofErr w:type="gramEnd"/>
      <w:r w:rsidRPr="00773BC8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{ max</w:t>
      </w:r>
      <w:proofErr w:type="gramEnd"/>
      <w:r w:rsidRPr="00773BC8">
        <w:rPr>
          <w:rFonts w:ascii="Courier New" w:eastAsia="Courier New" w:hAnsi="Courier New" w:cs="Courier New"/>
          <w:sz w:val="18"/>
          <w:lang w:val="en-US"/>
        </w:rPr>
        <w:t>-width: 65ch</w:t>
      </w: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1AD01A22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.hint</w:t>
      </w:r>
      <w:proofErr w:type="gramEnd"/>
      <w:r w:rsidRPr="00773BC8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{ font</w:t>
      </w:r>
      <w:proofErr w:type="gramEnd"/>
      <w:r w:rsidRPr="00773BC8">
        <w:rPr>
          <w:rFonts w:ascii="Courier New" w:eastAsia="Courier New" w:hAnsi="Courier New" w:cs="Courier New"/>
          <w:sz w:val="18"/>
          <w:lang w:val="en-US"/>
        </w:rPr>
        <w:t>-size: 0.95rem</w:t>
      </w: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3C87501C" w14:textId="77777777" w:rsidR="006F08E8" w:rsidRPr="00773BC8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.field</w:t>
      </w:r>
      <w:proofErr w:type="gramEnd"/>
      <w:r w:rsidRPr="00773BC8">
        <w:rPr>
          <w:rFonts w:ascii="Courier New" w:eastAsia="Courier New" w:hAnsi="Courier New" w:cs="Courier New"/>
          <w:sz w:val="18"/>
          <w:lang w:val="en-US"/>
        </w:rPr>
        <w:t xml:space="preserve">-label </w:t>
      </w: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{ display</w:t>
      </w:r>
      <w:proofErr w:type="gramEnd"/>
      <w:r w:rsidRPr="00773BC8">
        <w:rPr>
          <w:rFonts w:ascii="Courier New" w:eastAsia="Courier New" w:hAnsi="Courier New" w:cs="Courier New"/>
          <w:sz w:val="18"/>
          <w:lang w:val="en-US"/>
        </w:rPr>
        <w:t>: block; font-weight: 700</w:t>
      </w:r>
      <w:proofErr w:type="gramStart"/>
      <w:r w:rsidRPr="00773BC8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2E192022" w14:textId="77777777" w:rsidR="006F08E8" w:rsidRPr="00773BC8" w:rsidRDefault="006F08E8">
      <w:pPr>
        <w:spacing w:after="20" w:line="60" w:lineRule="exact"/>
        <w:rPr>
          <w:lang w:val="en-US"/>
        </w:rPr>
      </w:pPr>
    </w:p>
    <w:p w14:paraId="14F289A7" w14:textId="77777777" w:rsidR="006F08E8" w:rsidRDefault="00000000">
      <w:proofErr w:type="spellStart"/>
      <w:r>
        <w:t>rem</w:t>
      </w:r>
      <w:proofErr w:type="spellEnd"/>
      <w:r>
        <w:t xml:space="preserve"> связан с корневым размером; ch — с метрикой знака «0». Поэтому 65ch не гарантирует ровно 65 русских букв. Это ограничитель, а не счетчик. clamp задает нижнюю и верхнюю границы промежуточного размера.</w:t>
      </w:r>
    </w:p>
    <w:p w14:paraId="3787BB21" w14:textId="77777777" w:rsidR="00773BC8" w:rsidRDefault="00773BC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96"/>
        <w:gridCol w:w="6398"/>
      </w:tblGrid>
      <w:tr w:rsidR="006F08E8" w14:paraId="1387A772" w14:textId="77777777">
        <w:trPr>
          <w:cantSplit/>
          <w:tblHeader/>
          <w:jc w:val="center"/>
        </w:trPr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78237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Ситуация</w:t>
            </w:r>
          </w:p>
        </w:tc>
        <w:tc>
          <w:tcPr>
            <w:tcW w:w="639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6B5AD0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6F08E8" w14:paraId="7E828D6B" w14:textId="77777777">
        <w:trPr>
          <w:cantSplit/>
          <w:jc w:val="center"/>
        </w:trPr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F77A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Длинный заголовок</w:t>
            </w:r>
          </w:p>
        </w:tc>
        <w:tc>
          <w:tcPr>
            <w:tcW w:w="639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D7D08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Перенос без потери и ненужной фиксации высоты</w:t>
            </w:r>
          </w:p>
        </w:tc>
      </w:tr>
      <w:tr w:rsidR="006F08E8" w14:paraId="3BA00A3E" w14:textId="77777777">
        <w:trPr>
          <w:cantSplit/>
          <w:jc w:val="center"/>
        </w:trPr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84944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Длинный адрес</w:t>
            </w:r>
          </w:p>
        </w:tc>
        <w:tc>
          <w:tcPr>
            <w:tcW w:w="639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F983C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Безопасный перенос без горизонтального выхода</w:t>
            </w:r>
          </w:p>
        </w:tc>
      </w:tr>
      <w:tr w:rsidR="006F08E8" w14:paraId="26675330" w14:textId="77777777">
        <w:trPr>
          <w:cantSplit/>
          <w:jc w:val="center"/>
        </w:trPr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5BB34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Увеличенный текст</w:t>
            </w:r>
          </w:p>
        </w:tc>
        <w:tc>
          <w:tcPr>
            <w:tcW w:w="639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B62BA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Доступ к содержанию и действию</w:t>
            </w:r>
          </w:p>
        </w:tc>
      </w:tr>
      <w:tr w:rsidR="006F08E8" w14:paraId="7101F40A" w14:textId="77777777">
        <w:trPr>
          <w:cantSplit/>
          <w:jc w:val="center"/>
        </w:trPr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F1534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Нет основного шрифта</w:t>
            </w:r>
          </w:p>
        </w:tc>
        <w:tc>
          <w:tcPr>
            <w:tcW w:w="639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D51A5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Запасное отображение и смещение</w:t>
            </w:r>
          </w:p>
        </w:tc>
      </w:tr>
    </w:tbl>
    <w:p w14:paraId="72FC2050" w14:textId="77777777" w:rsidR="006F08E8" w:rsidRDefault="006F08E8">
      <w:pPr>
        <w:spacing w:after="20" w:line="60" w:lineRule="exact"/>
      </w:pPr>
    </w:p>
    <w:p w14:paraId="644CF7E4" w14:textId="77777777" w:rsidR="00773BC8" w:rsidRDefault="00773BC8"/>
    <w:p w14:paraId="4D70807E" w14:textId="6D229F7A" w:rsidR="006F08E8" w:rsidRDefault="00000000">
      <w:r>
        <w:t>Смысловой заголовок остается заголовком, даже если размер зависит от шаблона. HTML-уровень не выбирается ради нужных пикселей. Иначе структура чтения перестает соответствовать разделам.</w:t>
      </w:r>
    </w:p>
    <w:p w14:paraId="6FFE3D1C" w14:textId="77777777" w:rsidR="006F08E8" w:rsidRDefault="00000000">
      <w:r>
        <w:t>Передавайте образец текста рядом с ролью. «H1 — 48» без единиц, контекста и мобильного правила недостаточно. Нужны размер или функция, интервал, начертание, ширина и длинное содержание.</w:t>
      </w:r>
    </w:p>
    <w:p w14:paraId="077B4520" w14:textId="77777777" w:rsidR="006F08E8" w:rsidRDefault="00000000">
      <w:r>
        <w:t>После изменения роли проверьте все применения. Увеличение служебного текста может улучшить читаемость, но потребовать гибкой высоты компонента. Это нормальное уточнение системы, а не причина запрещать изменение размера.</w:t>
      </w:r>
    </w:p>
    <w:p w14:paraId="1F178A1C" w14:textId="77777777" w:rsidR="006F08E8" w:rsidRDefault="00000000">
      <w:pPr>
        <w:pStyle w:val="1"/>
        <w:pageBreakBefore/>
      </w:pPr>
      <w:r>
        <w:lastRenderedPageBreak/>
        <w:t>5. Изменяемые настройки и читаемость</w:t>
      </w:r>
    </w:p>
    <w:p w14:paraId="651A1176" w14:textId="77777777" w:rsidR="006F08E8" w:rsidRDefault="00000000">
      <w:r>
        <w:t>Пользователь увеличивает текст и интервалы. Фиксированная высота со скрытым переполнением часто работает только при исходной настройке. Проверка выясняет, сохраняются ли сведения и действия после изменения.</w:t>
      </w:r>
    </w:p>
    <w:p w14:paraId="341CCC09" w14:textId="77777777" w:rsidR="006F08E8" w:rsidRDefault="00000000">
      <w:r>
        <w:t xml:space="preserve">WCAG 2.2 1.4.12 AA требует отсутствия потери содержания и функций при заданном переопределении: межстрочный интервал 1,5; после абзаца — 2 размера шрифта; между буквами — 0,12 и словами — 0,16 размера [3]. </w:t>
      </w:r>
      <w:r>
        <w:rPr>
          <w:b/>
        </w:rPr>
        <w:t>Это проверка устойчивости, а не требование таких значений по умолчанию.</w:t>
      </w:r>
    </w:p>
    <w:p w14:paraId="4FCC4BE3" w14:textId="77777777" w:rsidR="006F08E8" w:rsidRDefault="00000000">
      <w:r>
        <w:t>По 1.4.3 AA обычному тексту требуется контраст 4,5:1, крупному — 3:1 с установленными условиями и исключениями [4]. Произвольная подпись «крупный» не меняет применимый порог: учитываются фактические размер и начертание.</w:t>
      </w:r>
    </w:p>
    <w:p w14:paraId="52C1079A" w14:textId="77777777" w:rsidR="00773BC8" w:rsidRDefault="00773BC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1"/>
        <w:gridCol w:w="3490"/>
        <w:gridCol w:w="3393"/>
      </w:tblGrid>
      <w:tr w:rsidR="006F08E8" w14:paraId="6E76BB6E" w14:textId="77777777">
        <w:trPr>
          <w:cantSplit/>
          <w:tblHeader/>
          <w:jc w:val="center"/>
        </w:trPr>
        <w:tc>
          <w:tcPr>
            <w:tcW w:w="281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81C67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Дефект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68C8F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Причина</w:t>
            </w:r>
          </w:p>
        </w:tc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B2E9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6F08E8" w14:paraId="53151BD6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158E1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Обрезана кнопка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BB9B90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Жесткая высота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BA566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Длинная подпись и масштаб</w:t>
            </w:r>
          </w:p>
        </w:tc>
      </w:tr>
      <w:tr w:rsidR="006F08E8" w14:paraId="1546BCA4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9BC27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Наложена подсказка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41516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Фиксированные координаты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9BCA3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Изменение интервалов</w:t>
            </w:r>
          </w:p>
        </w:tc>
      </w:tr>
      <w:tr w:rsidR="006F08E8" w14:paraId="02288954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FAA21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Светлая подпись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EA9ED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Акцент перепутан с читаемостью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9BF31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Измерение контраста</w:t>
            </w:r>
          </w:p>
        </w:tc>
      </w:tr>
      <w:tr w:rsidR="006F08E8" w14:paraId="1857142B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91CC7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Неровный набор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1E028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Недостающие символы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10B30" w14:textId="77777777" w:rsidR="006F08E8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Кириллица и запасной шрифт</w:t>
            </w:r>
          </w:p>
        </w:tc>
      </w:tr>
    </w:tbl>
    <w:p w14:paraId="5FAD8664" w14:textId="77777777" w:rsidR="006F08E8" w:rsidRDefault="006F08E8">
      <w:pPr>
        <w:spacing w:after="20" w:line="60" w:lineRule="exact"/>
      </w:pPr>
    </w:p>
    <w:p w14:paraId="014D86A0" w14:textId="77777777" w:rsidR="00773BC8" w:rsidRDefault="00773BC8"/>
    <w:p w14:paraId="1F09A331" w14:textId="524D79FB" w:rsidR="006F08E8" w:rsidRDefault="00000000">
      <w:r>
        <w:t>Инструмент контраста не оценивает смысл. Ясная формулировка не компенсирует отсутствие читаемости. Нужно проверить оба уровня: условия объяснены и доступны восприятию.</w:t>
      </w:r>
    </w:p>
    <w:p w14:paraId="4FC641C0" w14:textId="77777777" w:rsidR="006F08E8" w:rsidRDefault="00000000">
      <w:r>
        <w:t>Завершайте тему редакторской ревизией: одинаковые сущности названы одинаково; действия точны; существенное не уменьшено ради красоты; ошибки дают шаг восстановления. Затем проверяется типографическая устойчивость.</w:t>
      </w:r>
    </w:p>
    <w:p w14:paraId="3056F9A1" w14:textId="163265F2" w:rsidR="006F08E8" w:rsidRDefault="00000000" w:rsidP="00773BC8">
      <w:r>
        <w:t>Такой порядок уменьшает риск шлифовать текст, который придется переписать. Обсуждение шрифта полезно после определения смысла, хотя оба направления могут уточняться итеративно. Не нужно считать содержание неизменной данностью макета.</w:t>
      </w:r>
    </w:p>
    <w:sectPr w:rsidR="006F08E8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1F978" w14:textId="77777777" w:rsidR="007B27D7" w:rsidRDefault="007B27D7">
      <w:pPr>
        <w:spacing w:after="0" w:line="240" w:lineRule="auto"/>
      </w:pPr>
      <w:r>
        <w:separator/>
      </w:r>
    </w:p>
  </w:endnote>
  <w:endnote w:type="continuationSeparator" w:id="0">
    <w:p w14:paraId="08DA49A4" w14:textId="77777777" w:rsidR="007B27D7" w:rsidRDefault="007B2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6701" w14:textId="5791EF1C" w:rsidR="006F08E8" w:rsidRDefault="006F08E8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24F8E" w14:textId="77777777" w:rsidR="007B27D7" w:rsidRDefault="007B27D7">
      <w:pPr>
        <w:spacing w:after="0" w:line="240" w:lineRule="auto"/>
      </w:pPr>
      <w:r>
        <w:separator/>
      </w:r>
    </w:p>
  </w:footnote>
  <w:footnote w:type="continuationSeparator" w:id="0">
    <w:p w14:paraId="7D33B2EA" w14:textId="77777777" w:rsidR="007B27D7" w:rsidRDefault="007B2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0394" w14:textId="1E30F774" w:rsidR="006F08E8" w:rsidRDefault="006F08E8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1864900">
    <w:abstractNumId w:val="8"/>
  </w:num>
  <w:num w:numId="2" w16cid:durableId="1572813618">
    <w:abstractNumId w:val="6"/>
  </w:num>
  <w:num w:numId="3" w16cid:durableId="855652831">
    <w:abstractNumId w:val="5"/>
  </w:num>
  <w:num w:numId="4" w16cid:durableId="336467914">
    <w:abstractNumId w:val="4"/>
  </w:num>
  <w:num w:numId="5" w16cid:durableId="1543323998">
    <w:abstractNumId w:val="7"/>
  </w:num>
  <w:num w:numId="6" w16cid:durableId="466169487">
    <w:abstractNumId w:val="3"/>
  </w:num>
  <w:num w:numId="7" w16cid:durableId="1515614441">
    <w:abstractNumId w:val="2"/>
  </w:num>
  <w:num w:numId="8" w16cid:durableId="1059673992">
    <w:abstractNumId w:val="1"/>
  </w:num>
  <w:num w:numId="9" w16cid:durableId="103299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0659"/>
    <w:rsid w:val="006F08E8"/>
    <w:rsid w:val="00773BC8"/>
    <w:rsid w:val="007B27D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10DDD"/>
  <w14:defaultImageDpi w14:val="300"/>
  <w15:docId w15:val="{7F736A4C-8FA4-4125-A6A3-91007E1C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Веб-типографика и тексты интерфейса</dc:title>
  <dc:subject>Веб-дизайн. Лекция 6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2026-10-07T13:30:00Z</dcterms:modified>
  <cp:category/>
  <dc:language>ru-RU</dc:language>
</cp:coreProperties>
</file>