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6F0B" w14:textId="77777777" w:rsidR="003C4EB6" w:rsidRPr="003C4EB6" w:rsidRDefault="00000000" w:rsidP="003C4EB6">
      <w:pPr>
        <w:pStyle w:val="aa"/>
      </w:pPr>
      <w:r>
        <w:t>Управленческие решения в условиях риска и неопределенности</w:t>
      </w:r>
    </w:p>
    <w:p w14:paraId="463A6A75" w14:textId="77777777" w:rsidR="003C4EB6" w:rsidRDefault="003C4EB6" w:rsidP="003C4EB6">
      <w:pPr>
        <w:pStyle w:val="aa"/>
        <w:rPr>
          <w:lang w:val="en-US"/>
        </w:rPr>
      </w:pPr>
    </w:p>
    <w:p w14:paraId="2942F0A7" w14:textId="424AAF78" w:rsidR="00D57922" w:rsidRDefault="00000000" w:rsidP="003C4EB6">
      <w:pPr>
        <w:pStyle w:val="aa"/>
      </w:pPr>
      <w:r>
        <w:t>1. Проблема, причина и тип решения</w:t>
      </w:r>
    </w:p>
    <w:p w14:paraId="0816EEDE" w14:textId="77777777" w:rsidR="00D57922" w:rsidRDefault="00000000">
      <w:r>
        <w:rPr>
          <w:b/>
        </w:rPr>
        <w:t>Симптом</w:t>
      </w:r>
      <w:r>
        <w:t xml:space="preserve"> — наблюдаемое отклонение: например, выросла очередь. </w:t>
      </w:r>
      <w:r>
        <w:rPr>
          <w:b/>
        </w:rPr>
        <w:t>Проблема</w:t>
      </w:r>
      <w:r>
        <w:t xml:space="preserve"> — значимый разрыв между текущим и требуемым состоянием. </w:t>
      </w:r>
      <w:r>
        <w:rPr>
          <w:b/>
        </w:rPr>
        <w:t>Гипотеза причины</w:t>
      </w:r>
      <w:r>
        <w:t xml:space="preserve"> объясняет, почему он возник. Разделение необходимо, чтобы решение не было заранее спрятано в формулировке «нам не хватает новой программы».</w:t>
      </w:r>
    </w:p>
    <w:p w14:paraId="72D676F7" w14:textId="77777777" w:rsidR="00D57922" w:rsidRDefault="00000000">
      <w:r>
        <w:t>Уточните объект, период, масштаб и последствия. «Плохо работают» заменяется описанием: «За четыре сопоставимые недели доля своевременной передачи между отделами снизилась; неизвестно, на каком этапе возникает ожидание». После этого выбирают данные для проверки, а не собирают любую доступную статистику.</w:t>
      </w:r>
    </w:p>
    <w:p w14:paraId="289EC40A" w14:textId="77777777" w:rsidR="00D57922" w:rsidRDefault="00000000">
      <w:r>
        <w:t>В источнике [1] различаются программируемые решения для повторяющихся ситуаций и непрограммируемые — для новых, слабо структурированных вопросов. Первые могут опираться на заранее заданные правила; вторые требуют исследования, согласования критериев и оценки альтернатив.</w:t>
      </w:r>
    </w:p>
    <w:tbl>
      <w:tblPr>
        <w:tblW w:w="0" w:type="auto"/>
        <w:jc w:val="center"/>
        <w:tblLayout w:type="fixed"/>
        <w:tblLook w:val="04A0" w:firstRow="1" w:lastRow="0" w:firstColumn="1" w:lastColumn="0" w:noHBand="0" w:noVBand="1"/>
      </w:tblPr>
      <w:tblGrid>
        <w:gridCol w:w="3005"/>
        <w:gridCol w:w="6633"/>
      </w:tblGrid>
      <w:tr w:rsidR="00D57922" w14:paraId="09D65C85" w14:textId="77777777">
        <w:trPr>
          <w:cantSplit/>
          <w:tblHeader/>
          <w:jc w:val="center"/>
        </w:trPr>
        <w:tc>
          <w:tcPr>
            <w:tcW w:w="3005" w:type="dxa"/>
            <w:shd w:val="clear" w:color="auto" w:fill="213C4B"/>
            <w:tcMar>
              <w:top w:w="90" w:type="dxa"/>
              <w:left w:w="90" w:type="dxa"/>
              <w:bottom w:w="90" w:type="dxa"/>
              <w:right w:w="90" w:type="dxa"/>
            </w:tcMar>
            <w:vAlign w:val="center"/>
          </w:tcPr>
          <w:p w14:paraId="6DD37318" w14:textId="77777777" w:rsidR="00D57922" w:rsidRDefault="00000000">
            <w:pPr>
              <w:pStyle w:val="TableText"/>
            </w:pPr>
            <w:r>
              <w:rPr>
                <w:b/>
                <w:color w:val="FFFFFF"/>
              </w:rPr>
              <w:t>Ситуация</w:t>
            </w:r>
          </w:p>
        </w:tc>
        <w:tc>
          <w:tcPr>
            <w:tcW w:w="6633" w:type="dxa"/>
            <w:shd w:val="clear" w:color="auto" w:fill="213C4B"/>
            <w:tcMar>
              <w:top w:w="90" w:type="dxa"/>
              <w:left w:w="90" w:type="dxa"/>
              <w:bottom w:w="90" w:type="dxa"/>
              <w:right w:w="90" w:type="dxa"/>
            </w:tcMar>
            <w:vAlign w:val="center"/>
          </w:tcPr>
          <w:p w14:paraId="63F35A26" w14:textId="77777777" w:rsidR="00D57922" w:rsidRDefault="00000000">
            <w:pPr>
              <w:pStyle w:val="TableText"/>
            </w:pPr>
            <w:r>
              <w:rPr>
                <w:b/>
                <w:color w:val="FFFFFF"/>
              </w:rPr>
              <w:t>Возможный способ работы</w:t>
            </w:r>
          </w:p>
        </w:tc>
      </w:tr>
      <w:tr w:rsidR="00D57922" w14:paraId="41556B70" w14:textId="77777777">
        <w:trPr>
          <w:cantSplit/>
          <w:jc w:val="center"/>
        </w:trPr>
        <w:tc>
          <w:tcPr>
            <w:tcW w:w="3005" w:type="dxa"/>
            <w:shd w:val="clear" w:color="auto" w:fill="EEF4F5"/>
            <w:tcMar>
              <w:top w:w="90" w:type="dxa"/>
              <w:left w:w="90" w:type="dxa"/>
              <w:bottom w:w="90" w:type="dxa"/>
              <w:right w:w="90" w:type="dxa"/>
            </w:tcMar>
            <w:vAlign w:val="center"/>
          </w:tcPr>
          <w:p w14:paraId="7FA7FF54" w14:textId="77777777" w:rsidR="00D57922" w:rsidRDefault="00000000">
            <w:pPr>
              <w:pStyle w:val="TableText"/>
            </w:pPr>
            <w:r>
              <w:t>Обычное пополнение запаса</w:t>
            </w:r>
          </w:p>
        </w:tc>
        <w:tc>
          <w:tcPr>
            <w:tcW w:w="6633" w:type="dxa"/>
            <w:shd w:val="clear" w:color="auto" w:fill="EEF4F5"/>
            <w:tcMar>
              <w:top w:w="90" w:type="dxa"/>
              <w:left w:w="90" w:type="dxa"/>
              <w:bottom w:w="90" w:type="dxa"/>
              <w:right w:w="90" w:type="dxa"/>
            </w:tcMar>
            <w:vAlign w:val="center"/>
          </w:tcPr>
          <w:p w14:paraId="6AFB2F60" w14:textId="77777777" w:rsidR="00D57922" w:rsidRPr="003C4EB6" w:rsidRDefault="00000000">
            <w:pPr>
              <w:pStyle w:val="TableText"/>
              <w:rPr>
                <w:lang w:val="ru-RU"/>
              </w:rPr>
            </w:pPr>
            <w:r w:rsidRPr="003C4EB6">
              <w:rPr>
                <w:lang w:val="ru-RU"/>
              </w:rPr>
              <w:t>Правило заказа при установленном условии</w:t>
            </w:r>
          </w:p>
        </w:tc>
      </w:tr>
      <w:tr w:rsidR="00D57922" w14:paraId="3D861717" w14:textId="77777777">
        <w:trPr>
          <w:cantSplit/>
          <w:jc w:val="center"/>
        </w:trPr>
        <w:tc>
          <w:tcPr>
            <w:tcW w:w="3005" w:type="dxa"/>
            <w:tcMar>
              <w:top w:w="90" w:type="dxa"/>
              <w:left w:w="90" w:type="dxa"/>
              <w:bottom w:w="90" w:type="dxa"/>
              <w:right w:w="90" w:type="dxa"/>
            </w:tcMar>
            <w:vAlign w:val="center"/>
          </w:tcPr>
          <w:p w14:paraId="05078161" w14:textId="77777777" w:rsidR="00D57922" w:rsidRPr="003C4EB6" w:rsidRDefault="00000000">
            <w:pPr>
              <w:pStyle w:val="TableText"/>
              <w:rPr>
                <w:lang w:val="ru-RU"/>
              </w:rPr>
            </w:pPr>
            <w:r w:rsidRPr="003C4EB6">
              <w:rPr>
                <w:lang w:val="ru-RU"/>
              </w:rPr>
              <w:t>Разовая претензия в пределах процедуры</w:t>
            </w:r>
          </w:p>
        </w:tc>
        <w:tc>
          <w:tcPr>
            <w:tcW w:w="6633" w:type="dxa"/>
            <w:tcMar>
              <w:top w:w="90" w:type="dxa"/>
              <w:left w:w="90" w:type="dxa"/>
              <w:bottom w:w="90" w:type="dxa"/>
              <w:right w:w="90" w:type="dxa"/>
            </w:tcMar>
            <w:vAlign w:val="center"/>
          </w:tcPr>
          <w:p w14:paraId="0BFB29FA" w14:textId="77777777" w:rsidR="00D57922" w:rsidRPr="003C4EB6" w:rsidRDefault="00000000">
            <w:pPr>
              <w:pStyle w:val="TableText"/>
              <w:rPr>
                <w:lang w:val="ru-RU"/>
              </w:rPr>
            </w:pPr>
            <w:r w:rsidRPr="003C4EB6">
              <w:rPr>
                <w:lang w:val="ru-RU"/>
              </w:rPr>
              <w:t>Проверка фактов и применение согласованного порядка</w:t>
            </w:r>
          </w:p>
        </w:tc>
      </w:tr>
      <w:tr w:rsidR="00D57922" w14:paraId="48637D2C" w14:textId="77777777">
        <w:trPr>
          <w:cantSplit/>
          <w:jc w:val="center"/>
        </w:trPr>
        <w:tc>
          <w:tcPr>
            <w:tcW w:w="3005" w:type="dxa"/>
            <w:shd w:val="clear" w:color="auto" w:fill="EEF4F5"/>
            <w:tcMar>
              <w:top w:w="90" w:type="dxa"/>
              <w:left w:w="90" w:type="dxa"/>
              <w:bottom w:w="90" w:type="dxa"/>
              <w:right w:w="90" w:type="dxa"/>
            </w:tcMar>
            <w:vAlign w:val="center"/>
          </w:tcPr>
          <w:p w14:paraId="5C309AD4" w14:textId="77777777" w:rsidR="00D57922" w:rsidRDefault="00000000">
            <w:pPr>
              <w:pStyle w:val="TableText"/>
            </w:pPr>
            <w:r>
              <w:t>Выход в новую категорию</w:t>
            </w:r>
          </w:p>
        </w:tc>
        <w:tc>
          <w:tcPr>
            <w:tcW w:w="6633" w:type="dxa"/>
            <w:shd w:val="clear" w:color="auto" w:fill="EEF4F5"/>
            <w:tcMar>
              <w:top w:w="90" w:type="dxa"/>
              <w:left w:w="90" w:type="dxa"/>
              <w:bottom w:w="90" w:type="dxa"/>
              <w:right w:w="90" w:type="dxa"/>
            </w:tcMar>
            <w:vAlign w:val="center"/>
          </w:tcPr>
          <w:p w14:paraId="4FB0B02D" w14:textId="77777777" w:rsidR="00D57922" w:rsidRPr="003C4EB6" w:rsidRDefault="00000000">
            <w:pPr>
              <w:pStyle w:val="TableText"/>
              <w:rPr>
                <w:lang w:val="ru-RU"/>
              </w:rPr>
            </w:pPr>
            <w:r w:rsidRPr="003C4EB6">
              <w:rPr>
                <w:lang w:val="ru-RU"/>
              </w:rPr>
              <w:t>Анализ спроса, ресурсов, сценариев и ограничений</w:t>
            </w:r>
          </w:p>
        </w:tc>
      </w:tr>
      <w:tr w:rsidR="00D57922" w14:paraId="1D4256BC" w14:textId="77777777">
        <w:trPr>
          <w:cantSplit/>
          <w:jc w:val="center"/>
        </w:trPr>
        <w:tc>
          <w:tcPr>
            <w:tcW w:w="3005" w:type="dxa"/>
            <w:tcMar>
              <w:top w:w="90" w:type="dxa"/>
              <w:left w:w="90" w:type="dxa"/>
              <w:bottom w:w="90" w:type="dxa"/>
              <w:right w:w="90" w:type="dxa"/>
            </w:tcMar>
            <w:vAlign w:val="center"/>
          </w:tcPr>
          <w:p w14:paraId="2BC5DE1F" w14:textId="77777777" w:rsidR="00D57922" w:rsidRDefault="00000000">
            <w:pPr>
              <w:pStyle w:val="TableText"/>
            </w:pPr>
            <w:r>
              <w:t>Неизвестная причина системного сбоя</w:t>
            </w:r>
          </w:p>
        </w:tc>
        <w:tc>
          <w:tcPr>
            <w:tcW w:w="6633" w:type="dxa"/>
            <w:tcMar>
              <w:top w:w="90" w:type="dxa"/>
              <w:left w:w="90" w:type="dxa"/>
              <w:bottom w:w="90" w:type="dxa"/>
              <w:right w:w="90" w:type="dxa"/>
            </w:tcMar>
            <w:vAlign w:val="center"/>
          </w:tcPr>
          <w:p w14:paraId="60E71CA2" w14:textId="77777777" w:rsidR="00D57922" w:rsidRPr="003C4EB6" w:rsidRDefault="00000000">
            <w:pPr>
              <w:pStyle w:val="TableText"/>
              <w:rPr>
                <w:lang w:val="ru-RU"/>
              </w:rPr>
            </w:pPr>
            <w:r w:rsidRPr="003C4EB6">
              <w:rPr>
                <w:lang w:val="ru-RU"/>
              </w:rPr>
              <w:t>Первичные защитные действия и исследование</w:t>
            </w:r>
          </w:p>
        </w:tc>
      </w:tr>
    </w:tbl>
    <w:p w14:paraId="150622A5" w14:textId="77777777" w:rsidR="00D57922" w:rsidRDefault="00D57922">
      <w:pPr>
        <w:spacing w:after="40" w:line="240" w:lineRule="auto"/>
      </w:pPr>
    </w:p>
    <w:p w14:paraId="276BDE32" w14:textId="77777777" w:rsidR="00D57922" w:rsidRDefault="00000000">
      <w:r>
        <w:t>Руководитель не обязан каждый раз искать математически лучший вариант среди всех мыслимых возможностей. В реальности информация, время и способность обработки ограничены. Однако ограниченная рациональность не оправдывает отказ от проверки существенных фактов: нужно выбрать разумную глубину анализа под цену ошибки.</w:t>
      </w:r>
    </w:p>
    <w:p w14:paraId="7037FE3A" w14:textId="77777777" w:rsidR="00D57922" w:rsidRDefault="00000000">
      <w:r>
        <w:t>Полезно заранее определить, кто имеет право принять решение. Аналитик может подготовить расчет, но не располагать полномочием менять бюджет. Сотрудник может остановить опасное действие в пределах установленного порядка, но не утверждать долгосрочную стратегию. Ясность ролей уменьшает задержки и неподтвержденные обещания.</w:t>
      </w:r>
    </w:p>
    <w:p w14:paraId="2F20DDA6" w14:textId="77777777" w:rsidR="00D57922" w:rsidRDefault="00000000">
      <w:pPr>
        <w:pStyle w:val="1"/>
        <w:pageBreakBefore/>
      </w:pPr>
      <w:r>
        <w:lastRenderedPageBreak/>
        <w:t>2. Альтернативы, критерии и обязательные ограничения</w:t>
      </w:r>
    </w:p>
    <w:p w14:paraId="1AE3F669" w14:textId="77777777" w:rsidR="00D57922" w:rsidRDefault="00000000">
      <w:r>
        <w:t>Не начинайте сравнение только с двух крайностей: «оставить все» или «полностью заменить». Часто существуют промежуточные варианты — ограниченный пилот, изменение процесса, использование готового инструмента, перенос части объема, обучение или отказ от ненужной функции.</w:t>
      </w:r>
    </w:p>
    <w:p w14:paraId="3670CA19" w14:textId="77777777" w:rsidR="00D57922" w:rsidRDefault="00000000">
      <w:r>
        <w:t>Критерии должны соответствовать проблеме. Для выбора системы учета важны пригодность к сценарию, надежность, полные затраты, интеграция и возможность выхода. Для срочного восстановления — безопасность, исполнимость и время. Один универсальный набор весов для всех решений не подходит.</w:t>
      </w:r>
    </w:p>
    <w:tbl>
      <w:tblPr>
        <w:tblW w:w="0" w:type="auto"/>
        <w:jc w:val="center"/>
        <w:tblLayout w:type="fixed"/>
        <w:tblLook w:val="04A0" w:firstRow="1" w:lastRow="0" w:firstColumn="1" w:lastColumn="0" w:noHBand="0" w:noVBand="1"/>
      </w:tblPr>
      <w:tblGrid>
        <w:gridCol w:w="2268"/>
        <w:gridCol w:w="3515"/>
        <w:gridCol w:w="3855"/>
      </w:tblGrid>
      <w:tr w:rsidR="00D57922" w14:paraId="28FF9C2A" w14:textId="77777777">
        <w:trPr>
          <w:cantSplit/>
          <w:tblHeader/>
          <w:jc w:val="center"/>
        </w:trPr>
        <w:tc>
          <w:tcPr>
            <w:tcW w:w="2268" w:type="dxa"/>
            <w:shd w:val="clear" w:color="auto" w:fill="213C4B"/>
            <w:tcMar>
              <w:top w:w="90" w:type="dxa"/>
              <w:left w:w="90" w:type="dxa"/>
              <w:bottom w:w="90" w:type="dxa"/>
              <w:right w:w="90" w:type="dxa"/>
            </w:tcMar>
            <w:vAlign w:val="center"/>
          </w:tcPr>
          <w:p w14:paraId="20060484" w14:textId="77777777" w:rsidR="00D57922" w:rsidRDefault="00000000">
            <w:pPr>
              <w:pStyle w:val="TableText"/>
            </w:pPr>
            <w:r>
              <w:rPr>
                <w:b/>
                <w:color w:val="FFFFFF"/>
              </w:rPr>
              <w:t>Элемент выбора</w:t>
            </w:r>
          </w:p>
        </w:tc>
        <w:tc>
          <w:tcPr>
            <w:tcW w:w="3515" w:type="dxa"/>
            <w:shd w:val="clear" w:color="auto" w:fill="213C4B"/>
            <w:tcMar>
              <w:top w:w="90" w:type="dxa"/>
              <w:left w:w="90" w:type="dxa"/>
              <w:bottom w:w="90" w:type="dxa"/>
              <w:right w:w="90" w:type="dxa"/>
            </w:tcMar>
            <w:vAlign w:val="center"/>
          </w:tcPr>
          <w:p w14:paraId="21E7F0DB" w14:textId="77777777" w:rsidR="00D57922" w:rsidRDefault="00000000">
            <w:pPr>
              <w:pStyle w:val="TableText"/>
            </w:pPr>
            <w:r>
              <w:rPr>
                <w:b/>
                <w:color w:val="FFFFFF"/>
              </w:rPr>
              <w:t>Назначение</w:t>
            </w:r>
          </w:p>
        </w:tc>
        <w:tc>
          <w:tcPr>
            <w:tcW w:w="3855" w:type="dxa"/>
            <w:shd w:val="clear" w:color="auto" w:fill="213C4B"/>
            <w:tcMar>
              <w:top w:w="90" w:type="dxa"/>
              <w:left w:w="90" w:type="dxa"/>
              <w:bottom w:w="90" w:type="dxa"/>
              <w:right w:w="90" w:type="dxa"/>
            </w:tcMar>
            <w:vAlign w:val="center"/>
          </w:tcPr>
          <w:p w14:paraId="5A0FBE2D" w14:textId="77777777" w:rsidR="00D57922" w:rsidRDefault="00000000">
            <w:pPr>
              <w:pStyle w:val="TableText"/>
            </w:pPr>
            <w:r>
              <w:rPr>
                <w:b/>
                <w:color w:val="FFFFFF"/>
              </w:rPr>
              <w:t>Пример</w:t>
            </w:r>
          </w:p>
        </w:tc>
      </w:tr>
      <w:tr w:rsidR="00D57922" w14:paraId="1CB8CCAB" w14:textId="77777777">
        <w:trPr>
          <w:cantSplit/>
          <w:jc w:val="center"/>
        </w:trPr>
        <w:tc>
          <w:tcPr>
            <w:tcW w:w="2268" w:type="dxa"/>
            <w:shd w:val="clear" w:color="auto" w:fill="EEF4F5"/>
            <w:tcMar>
              <w:top w:w="90" w:type="dxa"/>
              <w:left w:w="90" w:type="dxa"/>
              <w:bottom w:w="90" w:type="dxa"/>
              <w:right w:w="90" w:type="dxa"/>
            </w:tcMar>
            <w:vAlign w:val="center"/>
          </w:tcPr>
          <w:p w14:paraId="7116CC99" w14:textId="77777777" w:rsidR="00D57922" w:rsidRDefault="00000000">
            <w:pPr>
              <w:pStyle w:val="TableText"/>
            </w:pPr>
            <w:r>
              <w:t>Обязательное условие</w:t>
            </w:r>
          </w:p>
        </w:tc>
        <w:tc>
          <w:tcPr>
            <w:tcW w:w="3515" w:type="dxa"/>
            <w:shd w:val="clear" w:color="auto" w:fill="EEF4F5"/>
            <w:tcMar>
              <w:top w:w="90" w:type="dxa"/>
              <w:left w:w="90" w:type="dxa"/>
              <w:bottom w:w="90" w:type="dxa"/>
              <w:right w:w="90" w:type="dxa"/>
            </w:tcMar>
            <w:vAlign w:val="center"/>
          </w:tcPr>
          <w:p w14:paraId="12B40584" w14:textId="77777777" w:rsidR="00D57922" w:rsidRDefault="00000000">
            <w:pPr>
              <w:pStyle w:val="TableText"/>
            </w:pPr>
            <w:r>
              <w:t>Исключает недопустимый вариант</w:t>
            </w:r>
          </w:p>
        </w:tc>
        <w:tc>
          <w:tcPr>
            <w:tcW w:w="3855" w:type="dxa"/>
            <w:shd w:val="clear" w:color="auto" w:fill="EEF4F5"/>
            <w:tcMar>
              <w:top w:w="90" w:type="dxa"/>
              <w:left w:w="90" w:type="dxa"/>
              <w:bottom w:w="90" w:type="dxa"/>
              <w:right w:w="90" w:type="dxa"/>
            </w:tcMar>
            <w:vAlign w:val="center"/>
          </w:tcPr>
          <w:p w14:paraId="1F445D37" w14:textId="77777777" w:rsidR="00D57922" w:rsidRPr="003C4EB6" w:rsidRDefault="00000000">
            <w:pPr>
              <w:pStyle w:val="TableText"/>
              <w:rPr>
                <w:lang w:val="ru-RU"/>
              </w:rPr>
            </w:pPr>
            <w:r w:rsidRPr="003C4EB6">
              <w:rPr>
                <w:lang w:val="ru-RU"/>
              </w:rPr>
              <w:t>Данные доступны только уполномоченным ролям</w:t>
            </w:r>
          </w:p>
        </w:tc>
      </w:tr>
      <w:tr w:rsidR="00D57922" w14:paraId="31F609E2" w14:textId="77777777">
        <w:trPr>
          <w:cantSplit/>
          <w:jc w:val="center"/>
        </w:trPr>
        <w:tc>
          <w:tcPr>
            <w:tcW w:w="2268" w:type="dxa"/>
            <w:tcMar>
              <w:top w:w="90" w:type="dxa"/>
              <w:left w:w="90" w:type="dxa"/>
              <w:bottom w:w="90" w:type="dxa"/>
              <w:right w:w="90" w:type="dxa"/>
            </w:tcMar>
            <w:vAlign w:val="center"/>
          </w:tcPr>
          <w:p w14:paraId="78906CBF" w14:textId="77777777" w:rsidR="00D57922" w:rsidRDefault="00000000">
            <w:pPr>
              <w:pStyle w:val="TableText"/>
            </w:pPr>
            <w:r>
              <w:t>Критерий сравнения</w:t>
            </w:r>
          </w:p>
        </w:tc>
        <w:tc>
          <w:tcPr>
            <w:tcW w:w="3515" w:type="dxa"/>
            <w:tcMar>
              <w:top w:w="90" w:type="dxa"/>
              <w:left w:w="90" w:type="dxa"/>
              <w:bottom w:w="90" w:type="dxa"/>
              <w:right w:w="90" w:type="dxa"/>
            </w:tcMar>
            <w:vAlign w:val="center"/>
          </w:tcPr>
          <w:p w14:paraId="57A8D72B" w14:textId="77777777" w:rsidR="00D57922" w:rsidRDefault="00000000">
            <w:pPr>
              <w:pStyle w:val="TableText"/>
            </w:pPr>
            <w:r>
              <w:t>Позволяет различить допустимые варианты</w:t>
            </w:r>
          </w:p>
        </w:tc>
        <w:tc>
          <w:tcPr>
            <w:tcW w:w="3855" w:type="dxa"/>
            <w:tcMar>
              <w:top w:w="90" w:type="dxa"/>
              <w:left w:w="90" w:type="dxa"/>
              <w:bottom w:w="90" w:type="dxa"/>
              <w:right w:w="90" w:type="dxa"/>
            </w:tcMar>
            <w:vAlign w:val="center"/>
          </w:tcPr>
          <w:p w14:paraId="03536929" w14:textId="77777777" w:rsidR="00D57922" w:rsidRPr="003C4EB6" w:rsidRDefault="00000000">
            <w:pPr>
              <w:pStyle w:val="TableText"/>
              <w:rPr>
                <w:lang w:val="ru-RU"/>
              </w:rPr>
            </w:pPr>
            <w:r w:rsidRPr="003C4EB6">
              <w:rPr>
                <w:lang w:val="ru-RU"/>
              </w:rPr>
              <w:t>Полная стоимость за выбранный горизонт</w:t>
            </w:r>
          </w:p>
        </w:tc>
      </w:tr>
      <w:tr w:rsidR="00D57922" w14:paraId="37D6DD50" w14:textId="77777777">
        <w:trPr>
          <w:cantSplit/>
          <w:jc w:val="center"/>
        </w:trPr>
        <w:tc>
          <w:tcPr>
            <w:tcW w:w="2268" w:type="dxa"/>
            <w:shd w:val="clear" w:color="auto" w:fill="EEF4F5"/>
            <w:tcMar>
              <w:top w:w="90" w:type="dxa"/>
              <w:left w:w="90" w:type="dxa"/>
              <w:bottom w:w="90" w:type="dxa"/>
              <w:right w:w="90" w:type="dxa"/>
            </w:tcMar>
            <w:vAlign w:val="center"/>
          </w:tcPr>
          <w:p w14:paraId="46E60197" w14:textId="77777777" w:rsidR="00D57922" w:rsidRDefault="00000000">
            <w:pPr>
              <w:pStyle w:val="TableText"/>
            </w:pPr>
            <w:r>
              <w:t>Допущение</w:t>
            </w:r>
          </w:p>
        </w:tc>
        <w:tc>
          <w:tcPr>
            <w:tcW w:w="3515" w:type="dxa"/>
            <w:shd w:val="clear" w:color="auto" w:fill="EEF4F5"/>
            <w:tcMar>
              <w:top w:w="90" w:type="dxa"/>
              <w:left w:w="90" w:type="dxa"/>
              <w:bottom w:w="90" w:type="dxa"/>
              <w:right w:w="90" w:type="dxa"/>
            </w:tcMar>
            <w:vAlign w:val="center"/>
          </w:tcPr>
          <w:p w14:paraId="00D7CA36" w14:textId="77777777" w:rsidR="00D57922" w:rsidRDefault="00000000">
            <w:pPr>
              <w:pStyle w:val="TableText"/>
            </w:pPr>
            <w:r>
              <w:t>Обозначает неизвестное</w:t>
            </w:r>
          </w:p>
        </w:tc>
        <w:tc>
          <w:tcPr>
            <w:tcW w:w="3855" w:type="dxa"/>
            <w:shd w:val="clear" w:color="auto" w:fill="EEF4F5"/>
            <w:tcMar>
              <w:top w:w="90" w:type="dxa"/>
              <w:left w:w="90" w:type="dxa"/>
              <w:bottom w:w="90" w:type="dxa"/>
              <w:right w:w="90" w:type="dxa"/>
            </w:tcMar>
            <w:vAlign w:val="center"/>
          </w:tcPr>
          <w:p w14:paraId="7175309D" w14:textId="77777777" w:rsidR="00D57922" w:rsidRPr="003C4EB6" w:rsidRDefault="00000000">
            <w:pPr>
              <w:pStyle w:val="TableText"/>
              <w:rPr>
                <w:lang w:val="ru-RU"/>
              </w:rPr>
            </w:pPr>
            <w:r w:rsidRPr="003C4EB6">
              <w:rPr>
                <w:lang w:val="ru-RU"/>
              </w:rPr>
              <w:t>Нагрузка останется в заданном диапазоне</w:t>
            </w:r>
          </w:p>
        </w:tc>
      </w:tr>
      <w:tr w:rsidR="00D57922" w14:paraId="7C3F2C41" w14:textId="77777777">
        <w:trPr>
          <w:cantSplit/>
          <w:jc w:val="center"/>
        </w:trPr>
        <w:tc>
          <w:tcPr>
            <w:tcW w:w="2268" w:type="dxa"/>
            <w:tcMar>
              <w:top w:w="90" w:type="dxa"/>
              <w:left w:w="90" w:type="dxa"/>
              <w:bottom w:w="90" w:type="dxa"/>
              <w:right w:w="90" w:type="dxa"/>
            </w:tcMar>
            <w:vAlign w:val="center"/>
          </w:tcPr>
          <w:p w14:paraId="48F52931" w14:textId="77777777" w:rsidR="00D57922" w:rsidRDefault="00000000">
            <w:pPr>
              <w:pStyle w:val="TableText"/>
            </w:pPr>
            <w:r>
              <w:t>Ограничение ресурса</w:t>
            </w:r>
          </w:p>
        </w:tc>
        <w:tc>
          <w:tcPr>
            <w:tcW w:w="3515" w:type="dxa"/>
            <w:tcMar>
              <w:top w:w="90" w:type="dxa"/>
              <w:left w:w="90" w:type="dxa"/>
              <w:bottom w:w="90" w:type="dxa"/>
              <w:right w:w="90" w:type="dxa"/>
            </w:tcMar>
            <w:vAlign w:val="center"/>
          </w:tcPr>
          <w:p w14:paraId="003A228F" w14:textId="77777777" w:rsidR="00D57922" w:rsidRDefault="00000000">
            <w:pPr>
              <w:pStyle w:val="TableText"/>
            </w:pPr>
            <w:r>
              <w:t>Задает осуществимость</w:t>
            </w:r>
          </w:p>
        </w:tc>
        <w:tc>
          <w:tcPr>
            <w:tcW w:w="3855" w:type="dxa"/>
            <w:tcMar>
              <w:top w:w="90" w:type="dxa"/>
              <w:left w:w="90" w:type="dxa"/>
              <w:bottom w:w="90" w:type="dxa"/>
              <w:right w:w="90" w:type="dxa"/>
            </w:tcMar>
            <w:vAlign w:val="center"/>
          </w:tcPr>
          <w:p w14:paraId="514C6EB0" w14:textId="77777777" w:rsidR="00D57922" w:rsidRDefault="00000000">
            <w:pPr>
              <w:pStyle w:val="TableText"/>
            </w:pPr>
            <w:r>
              <w:t>Не более 40 часов специалиста</w:t>
            </w:r>
          </w:p>
        </w:tc>
      </w:tr>
      <w:tr w:rsidR="00D57922" w14:paraId="307E67A5" w14:textId="77777777">
        <w:trPr>
          <w:cantSplit/>
          <w:jc w:val="center"/>
        </w:trPr>
        <w:tc>
          <w:tcPr>
            <w:tcW w:w="2268" w:type="dxa"/>
            <w:shd w:val="clear" w:color="auto" w:fill="EEF4F5"/>
            <w:tcMar>
              <w:top w:w="90" w:type="dxa"/>
              <w:left w:w="90" w:type="dxa"/>
              <w:bottom w:w="90" w:type="dxa"/>
              <w:right w:w="90" w:type="dxa"/>
            </w:tcMar>
            <w:vAlign w:val="center"/>
          </w:tcPr>
          <w:p w14:paraId="1E91AB6F" w14:textId="77777777" w:rsidR="00D57922" w:rsidRDefault="00000000">
            <w:pPr>
              <w:pStyle w:val="TableText"/>
            </w:pPr>
            <w:r>
              <w:t>Правило проверки</w:t>
            </w:r>
          </w:p>
        </w:tc>
        <w:tc>
          <w:tcPr>
            <w:tcW w:w="3515" w:type="dxa"/>
            <w:shd w:val="clear" w:color="auto" w:fill="EEF4F5"/>
            <w:tcMar>
              <w:top w:w="90" w:type="dxa"/>
              <w:left w:w="90" w:type="dxa"/>
              <w:bottom w:w="90" w:type="dxa"/>
              <w:right w:w="90" w:type="dxa"/>
            </w:tcMar>
            <w:vAlign w:val="center"/>
          </w:tcPr>
          <w:p w14:paraId="556A7181" w14:textId="77777777" w:rsidR="00D57922" w:rsidRDefault="00000000">
            <w:pPr>
              <w:pStyle w:val="TableText"/>
            </w:pPr>
            <w:r>
              <w:t>Поддерживает последующий контроль</w:t>
            </w:r>
          </w:p>
        </w:tc>
        <w:tc>
          <w:tcPr>
            <w:tcW w:w="3855" w:type="dxa"/>
            <w:shd w:val="clear" w:color="auto" w:fill="EEF4F5"/>
            <w:tcMar>
              <w:top w:w="90" w:type="dxa"/>
              <w:left w:w="90" w:type="dxa"/>
              <w:bottom w:w="90" w:type="dxa"/>
              <w:right w:w="90" w:type="dxa"/>
            </w:tcMar>
            <w:vAlign w:val="center"/>
          </w:tcPr>
          <w:p w14:paraId="6F9133D5" w14:textId="77777777" w:rsidR="00D57922" w:rsidRDefault="00000000">
            <w:pPr>
              <w:pStyle w:val="TableText"/>
            </w:pPr>
            <w:r>
              <w:t>Тест на согласованном сценарии</w:t>
            </w:r>
          </w:p>
        </w:tc>
      </w:tr>
    </w:tbl>
    <w:p w14:paraId="7C5AE2C1" w14:textId="77777777" w:rsidR="00D57922" w:rsidRDefault="00D57922">
      <w:pPr>
        <w:spacing w:after="40" w:line="240" w:lineRule="auto"/>
      </w:pPr>
    </w:p>
    <w:p w14:paraId="45BA00B2" w14:textId="77777777" w:rsidR="00D57922" w:rsidRDefault="00000000">
      <w:r>
        <w:t>Обязательное условие нельзя компенсировать высоким баллом по удобству или низкой ценой. Сначала проверяют допустимость, затем проводят взвешенное сравнение. Иначе итоговый индекс способен скрыть существенный риск под положительными оценками других характеристик.</w:t>
      </w:r>
    </w:p>
    <w:p w14:paraId="0BB98CCD" w14:textId="77777777" w:rsidR="00D57922" w:rsidRDefault="00000000">
      <w:r>
        <w:t>Для каждого критерия задают шкалу и направление. Если высокая оценка цены означает меньшие затраты, это нужно прямо написать. Число «пять» без описания основания не позволяет воспроизвести сравнение. Оценки по разным версиям продукта также нельзя незаметно смешивать.</w:t>
      </w:r>
    </w:p>
    <w:p w14:paraId="685B49AB" w14:textId="77777777" w:rsidR="00D57922" w:rsidRDefault="00000000">
      <w:r>
        <w:t>Участие заинтересованных сторон помогает обнаружить пропущенные критерии. Однако простое голосование не заменяет ответственности за последствия. Пользователь оценивает удобство, технический специалист — совместимость, руководитель — ресурсные ограничения; итоговый выбор должен согласовать эти перспективы.</w:t>
      </w:r>
    </w:p>
    <w:p w14:paraId="112623FA" w14:textId="77777777" w:rsidR="00D57922" w:rsidRDefault="00000000">
      <w:r>
        <w:t>Процесс улучшения решения включает поиск альтернатив, работу с доказательствами и проверку предположений [3]. Для учебной задачи достаточно трех вариантов, если они содержательно различаются и для каждого понятны основания оценки.</w:t>
      </w:r>
    </w:p>
    <w:p w14:paraId="7F3EF526" w14:textId="77777777" w:rsidR="00D57922" w:rsidRDefault="00000000">
      <w:pPr>
        <w:pStyle w:val="1"/>
        <w:pageBreakBefore/>
      </w:pPr>
      <w:r>
        <w:lastRenderedPageBreak/>
        <w:t>3. Взвешенная оценка и чувствительность вывода</w:t>
      </w:r>
    </w:p>
    <w:p w14:paraId="2D4FB003" w14:textId="77777777" w:rsidR="00D57922" w:rsidRDefault="00000000">
      <w:r>
        <w:t>После проверки обязательных условий можно использовать взвешенную сумму: S = Σ(w × x), где w — вес критерия, x — оценка варианта. В учебном примере все шкалы направлены одинаково: больше балл — предпочтительнее. Сумма весов равна единице.</w:t>
      </w:r>
    </w:p>
    <w:tbl>
      <w:tblPr>
        <w:tblW w:w="0" w:type="auto"/>
        <w:jc w:val="center"/>
        <w:tblLayout w:type="fixed"/>
        <w:tblLook w:val="04A0" w:firstRow="1" w:lastRow="0" w:firstColumn="1" w:lastColumn="0" w:noHBand="0" w:noVBand="1"/>
      </w:tblPr>
      <w:tblGrid>
        <w:gridCol w:w="2381"/>
        <w:gridCol w:w="1814"/>
        <w:gridCol w:w="1814"/>
        <w:gridCol w:w="1814"/>
        <w:gridCol w:w="1814"/>
      </w:tblGrid>
      <w:tr w:rsidR="00D57922" w14:paraId="7F3F602A" w14:textId="77777777">
        <w:trPr>
          <w:cantSplit/>
          <w:tblHeader/>
          <w:jc w:val="center"/>
        </w:trPr>
        <w:tc>
          <w:tcPr>
            <w:tcW w:w="2381" w:type="dxa"/>
            <w:shd w:val="clear" w:color="auto" w:fill="213C4B"/>
            <w:tcMar>
              <w:top w:w="90" w:type="dxa"/>
              <w:left w:w="90" w:type="dxa"/>
              <w:bottom w:w="90" w:type="dxa"/>
              <w:right w:w="90" w:type="dxa"/>
            </w:tcMar>
            <w:vAlign w:val="center"/>
          </w:tcPr>
          <w:p w14:paraId="65202AA5" w14:textId="77777777" w:rsidR="00D57922" w:rsidRDefault="00000000">
            <w:pPr>
              <w:pStyle w:val="TableText"/>
            </w:pPr>
            <w:r>
              <w:rPr>
                <w:b/>
                <w:color w:val="FFFFFF"/>
              </w:rPr>
              <w:t>Вариант</w:t>
            </w:r>
          </w:p>
        </w:tc>
        <w:tc>
          <w:tcPr>
            <w:tcW w:w="1814" w:type="dxa"/>
            <w:shd w:val="clear" w:color="auto" w:fill="213C4B"/>
            <w:tcMar>
              <w:top w:w="90" w:type="dxa"/>
              <w:left w:w="90" w:type="dxa"/>
              <w:bottom w:w="90" w:type="dxa"/>
              <w:right w:w="90" w:type="dxa"/>
            </w:tcMar>
            <w:vAlign w:val="center"/>
          </w:tcPr>
          <w:p w14:paraId="1E10E7B1" w14:textId="77777777" w:rsidR="00D57922" w:rsidRDefault="00000000">
            <w:pPr>
              <w:pStyle w:val="TableText"/>
            </w:pPr>
            <w:r>
              <w:rPr>
                <w:b/>
                <w:color w:val="FFFFFF"/>
              </w:rPr>
              <w:t>Качество: 0,5</w:t>
            </w:r>
          </w:p>
        </w:tc>
        <w:tc>
          <w:tcPr>
            <w:tcW w:w="1814" w:type="dxa"/>
            <w:shd w:val="clear" w:color="auto" w:fill="213C4B"/>
            <w:tcMar>
              <w:top w:w="90" w:type="dxa"/>
              <w:left w:w="90" w:type="dxa"/>
              <w:bottom w:w="90" w:type="dxa"/>
              <w:right w:w="90" w:type="dxa"/>
            </w:tcMar>
            <w:vAlign w:val="center"/>
          </w:tcPr>
          <w:p w14:paraId="09952C6C" w14:textId="77777777" w:rsidR="00D57922" w:rsidRDefault="00000000">
            <w:pPr>
              <w:pStyle w:val="TableText"/>
            </w:pPr>
            <w:r>
              <w:rPr>
                <w:b/>
                <w:color w:val="FFFFFF"/>
              </w:rPr>
              <w:t>Затраты: 0,3</w:t>
            </w:r>
          </w:p>
        </w:tc>
        <w:tc>
          <w:tcPr>
            <w:tcW w:w="1814" w:type="dxa"/>
            <w:shd w:val="clear" w:color="auto" w:fill="213C4B"/>
            <w:tcMar>
              <w:top w:w="90" w:type="dxa"/>
              <w:left w:w="90" w:type="dxa"/>
              <w:bottom w:w="90" w:type="dxa"/>
              <w:right w:w="90" w:type="dxa"/>
            </w:tcMar>
            <w:vAlign w:val="center"/>
          </w:tcPr>
          <w:p w14:paraId="3AD5EAC6" w14:textId="77777777" w:rsidR="00D57922" w:rsidRDefault="00000000">
            <w:pPr>
              <w:pStyle w:val="TableText"/>
            </w:pPr>
            <w:r>
              <w:rPr>
                <w:b/>
                <w:color w:val="FFFFFF"/>
              </w:rPr>
              <w:t>Скорость: 0,2</w:t>
            </w:r>
          </w:p>
        </w:tc>
        <w:tc>
          <w:tcPr>
            <w:tcW w:w="1814" w:type="dxa"/>
            <w:shd w:val="clear" w:color="auto" w:fill="213C4B"/>
            <w:tcMar>
              <w:top w:w="90" w:type="dxa"/>
              <w:left w:w="90" w:type="dxa"/>
              <w:bottom w:w="90" w:type="dxa"/>
              <w:right w:w="90" w:type="dxa"/>
            </w:tcMar>
            <w:vAlign w:val="center"/>
          </w:tcPr>
          <w:p w14:paraId="3B9C88F8" w14:textId="77777777" w:rsidR="00D57922" w:rsidRDefault="00000000">
            <w:pPr>
              <w:pStyle w:val="TableText"/>
            </w:pPr>
            <w:r>
              <w:rPr>
                <w:b/>
                <w:color w:val="FFFFFF"/>
              </w:rPr>
              <w:t>Итог</w:t>
            </w:r>
          </w:p>
        </w:tc>
      </w:tr>
      <w:tr w:rsidR="00D57922" w14:paraId="32C8D8B5" w14:textId="77777777">
        <w:trPr>
          <w:cantSplit/>
          <w:jc w:val="center"/>
        </w:trPr>
        <w:tc>
          <w:tcPr>
            <w:tcW w:w="2381" w:type="dxa"/>
            <w:shd w:val="clear" w:color="auto" w:fill="EEF4F5"/>
            <w:tcMar>
              <w:top w:w="90" w:type="dxa"/>
              <w:left w:w="90" w:type="dxa"/>
              <w:bottom w:w="90" w:type="dxa"/>
              <w:right w:w="90" w:type="dxa"/>
            </w:tcMar>
            <w:vAlign w:val="center"/>
          </w:tcPr>
          <w:p w14:paraId="3D5935CD" w14:textId="77777777" w:rsidR="00D57922" w:rsidRDefault="00000000">
            <w:pPr>
              <w:pStyle w:val="TableText"/>
            </w:pPr>
            <w:r>
              <w:t>A</w:t>
            </w:r>
          </w:p>
        </w:tc>
        <w:tc>
          <w:tcPr>
            <w:tcW w:w="1814" w:type="dxa"/>
            <w:shd w:val="clear" w:color="auto" w:fill="EEF4F5"/>
            <w:tcMar>
              <w:top w:w="90" w:type="dxa"/>
              <w:left w:w="90" w:type="dxa"/>
              <w:bottom w:w="90" w:type="dxa"/>
              <w:right w:w="90" w:type="dxa"/>
            </w:tcMar>
            <w:vAlign w:val="center"/>
          </w:tcPr>
          <w:p w14:paraId="2271CDC5" w14:textId="77777777" w:rsidR="00D57922" w:rsidRDefault="00000000">
            <w:pPr>
              <w:pStyle w:val="TableText"/>
            </w:pPr>
            <w:r>
              <w:t>4</w:t>
            </w:r>
          </w:p>
        </w:tc>
        <w:tc>
          <w:tcPr>
            <w:tcW w:w="1814" w:type="dxa"/>
            <w:shd w:val="clear" w:color="auto" w:fill="EEF4F5"/>
            <w:tcMar>
              <w:top w:w="90" w:type="dxa"/>
              <w:left w:w="90" w:type="dxa"/>
              <w:bottom w:w="90" w:type="dxa"/>
              <w:right w:w="90" w:type="dxa"/>
            </w:tcMar>
            <w:vAlign w:val="center"/>
          </w:tcPr>
          <w:p w14:paraId="02EFBF4F" w14:textId="77777777" w:rsidR="00D57922" w:rsidRDefault="00000000">
            <w:pPr>
              <w:pStyle w:val="TableText"/>
            </w:pPr>
            <w:r>
              <w:t>5</w:t>
            </w:r>
          </w:p>
        </w:tc>
        <w:tc>
          <w:tcPr>
            <w:tcW w:w="1814" w:type="dxa"/>
            <w:shd w:val="clear" w:color="auto" w:fill="EEF4F5"/>
            <w:tcMar>
              <w:top w:w="90" w:type="dxa"/>
              <w:left w:w="90" w:type="dxa"/>
              <w:bottom w:w="90" w:type="dxa"/>
              <w:right w:w="90" w:type="dxa"/>
            </w:tcMar>
            <w:vAlign w:val="center"/>
          </w:tcPr>
          <w:p w14:paraId="428AEAC7" w14:textId="77777777" w:rsidR="00D57922" w:rsidRDefault="00000000">
            <w:pPr>
              <w:pStyle w:val="TableText"/>
            </w:pPr>
            <w:r>
              <w:t>3</w:t>
            </w:r>
          </w:p>
        </w:tc>
        <w:tc>
          <w:tcPr>
            <w:tcW w:w="1814" w:type="dxa"/>
            <w:shd w:val="clear" w:color="auto" w:fill="EEF4F5"/>
            <w:tcMar>
              <w:top w:w="90" w:type="dxa"/>
              <w:left w:w="90" w:type="dxa"/>
              <w:bottom w:w="90" w:type="dxa"/>
              <w:right w:w="90" w:type="dxa"/>
            </w:tcMar>
            <w:vAlign w:val="center"/>
          </w:tcPr>
          <w:p w14:paraId="665DAD29" w14:textId="77777777" w:rsidR="00D57922" w:rsidRDefault="00000000">
            <w:pPr>
              <w:pStyle w:val="TableText"/>
            </w:pPr>
            <w:r>
              <w:t>4,1</w:t>
            </w:r>
          </w:p>
        </w:tc>
      </w:tr>
      <w:tr w:rsidR="00D57922" w14:paraId="75729B9C" w14:textId="77777777">
        <w:trPr>
          <w:cantSplit/>
          <w:jc w:val="center"/>
        </w:trPr>
        <w:tc>
          <w:tcPr>
            <w:tcW w:w="2381" w:type="dxa"/>
            <w:tcMar>
              <w:top w:w="90" w:type="dxa"/>
              <w:left w:w="90" w:type="dxa"/>
              <w:bottom w:w="90" w:type="dxa"/>
              <w:right w:w="90" w:type="dxa"/>
            </w:tcMar>
            <w:vAlign w:val="center"/>
          </w:tcPr>
          <w:p w14:paraId="5E2E7749" w14:textId="77777777" w:rsidR="00D57922" w:rsidRDefault="00000000">
            <w:pPr>
              <w:pStyle w:val="TableText"/>
            </w:pPr>
            <w:r>
              <w:t>B</w:t>
            </w:r>
          </w:p>
        </w:tc>
        <w:tc>
          <w:tcPr>
            <w:tcW w:w="1814" w:type="dxa"/>
            <w:tcMar>
              <w:top w:w="90" w:type="dxa"/>
              <w:left w:w="90" w:type="dxa"/>
              <w:bottom w:w="90" w:type="dxa"/>
              <w:right w:w="90" w:type="dxa"/>
            </w:tcMar>
            <w:vAlign w:val="center"/>
          </w:tcPr>
          <w:p w14:paraId="37A31C10" w14:textId="77777777" w:rsidR="00D57922" w:rsidRDefault="00000000">
            <w:pPr>
              <w:pStyle w:val="TableText"/>
            </w:pPr>
            <w:r>
              <w:t>5</w:t>
            </w:r>
          </w:p>
        </w:tc>
        <w:tc>
          <w:tcPr>
            <w:tcW w:w="1814" w:type="dxa"/>
            <w:tcMar>
              <w:top w:w="90" w:type="dxa"/>
              <w:left w:w="90" w:type="dxa"/>
              <w:bottom w:w="90" w:type="dxa"/>
              <w:right w:w="90" w:type="dxa"/>
            </w:tcMar>
            <w:vAlign w:val="center"/>
          </w:tcPr>
          <w:p w14:paraId="077864E9" w14:textId="77777777" w:rsidR="00D57922" w:rsidRDefault="00000000">
            <w:pPr>
              <w:pStyle w:val="TableText"/>
            </w:pPr>
            <w:r>
              <w:t>2</w:t>
            </w:r>
          </w:p>
        </w:tc>
        <w:tc>
          <w:tcPr>
            <w:tcW w:w="1814" w:type="dxa"/>
            <w:tcMar>
              <w:top w:w="90" w:type="dxa"/>
              <w:left w:w="90" w:type="dxa"/>
              <w:bottom w:w="90" w:type="dxa"/>
              <w:right w:w="90" w:type="dxa"/>
            </w:tcMar>
            <w:vAlign w:val="center"/>
          </w:tcPr>
          <w:p w14:paraId="30C402FB" w14:textId="77777777" w:rsidR="00D57922" w:rsidRDefault="00000000">
            <w:pPr>
              <w:pStyle w:val="TableText"/>
            </w:pPr>
            <w:r>
              <w:t>5</w:t>
            </w:r>
          </w:p>
        </w:tc>
        <w:tc>
          <w:tcPr>
            <w:tcW w:w="1814" w:type="dxa"/>
            <w:tcMar>
              <w:top w:w="90" w:type="dxa"/>
              <w:left w:w="90" w:type="dxa"/>
              <w:bottom w:w="90" w:type="dxa"/>
              <w:right w:w="90" w:type="dxa"/>
            </w:tcMar>
            <w:vAlign w:val="center"/>
          </w:tcPr>
          <w:p w14:paraId="6AB323D5" w14:textId="77777777" w:rsidR="00D57922" w:rsidRDefault="00000000">
            <w:pPr>
              <w:pStyle w:val="TableText"/>
            </w:pPr>
            <w:r>
              <w:t>4,1</w:t>
            </w:r>
          </w:p>
        </w:tc>
      </w:tr>
      <w:tr w:rsidR="00D57922" w14:paraId="4BA0E1AC" w14:textId="77777777">
        <w:trPr>
          <w:cantSplit/>
          <w:jc w:val="center"/>
        </w:trPr>
        <w:tc>
          <w:tcPr>
            <w:tcW w:w="2381" w:type="dxa"/>
            <w:shd w:val="clear" w:color="auto" w:fill="EEF4F5"/>
            <w:tcMar>
              <w:top w:w="90" w:type="dxa"/>
              <w:left w:w="90" w:type="dxa"/>
              <w:bottom w:w="90" w:type="dxa"/>
              <w:right w:w="90" w:type="dxa"/>
            </w:tcMar>
            <w:vAlign w:val="center"/>
          </w:tcPr>
          <w:p w14:paraId="48C8ABD4" w14:textId="77777777" w:rsidR="00D57922" w:rsidRDefault="00000000">
            <w:pPr>
              <w:pStyle w:val="TableText"/>
            </w:pPr>
            <w:r>
              <w:t>C</w:t>
            </w:r>
          </w:p>
        </w:tc>
        <w:tc>
          <w:tcPr>
            <w:tcW w:w="1814" w:type="dxa"/>
            <w:shd w:val="clear" w:color="auto" w:fill="EEF4F5"/>
            <w:tcMar>
              <w:top w:w="90" w:type="dxa"/>
              <w:left w:w="90" w:type="dxa"/>
              <w:bottom w:w="90" w:type="dxa"/>
              <w:right w:w="90" w:type="dxa"/>
            </w:tcMar>
            <w:vAlign w:val="center"/>
          </w:tcPr>
          <w:p w14:paraId="5574BD1B" w14:textId="77777777" w:rsidR="00D57922" w:rsidRDefault="00000000">
            <w:pPr>
              <w:pStyle w:val="TableText"/>
            </w:pPr>
            <w:r>
              <w:t>3</w:t>
            </w:r>
          </w:p>
        </w:tc>
        <w:tc>
          <w:tcPr>
            <w:tcW w:w="1814" w:type="dxa"/>
            <w:shd w:val="clear" w:color="auto" w:fill="EEF4F5"/>
            <w:tcMar>
              <w:top w:w="90" w:type="dxa"/>
              <w:left w:w="90" w:type="dxa"/>
              <w:bottom w:w="90" w:type="dxa"/>
              <w:right w:w="90" w:type="dxa"/>
            </w:tcMar>
            <w:vAlign w:val="center"/>
          </w:tcPr>
          <w:p w14:paraId="7A878D85" w14:textId="77777777" w:rsidR="00D57922" w:rsidRDefault="00000000">
            <w:pPr>
              <w:pStyle w:val="TableText"/>
            </w:pPr>
            <w:r>
              <w:t>3</w:t>
            </w:r>
          </w:p>
        </w:tc>
        <w:tc>
          <w:tcPr>
            <w:tcW w:w="1814" w:type="dxa"/>
            <w:shd w:val="clear" w:color="auto" w:fill="EEF4F5"/>
            <w:tcMar>
              <w:top w:w="90" w:type="dxa"/>
              <w:left w:w="90" w:type="dxa"/>
              <w:bottom w:w="90" w:type="dxa"/>
              <w:right w:w="90" w:type="dxa"/>
            </w:tcMar>
            <w:vAlign w:val="center"/>
          </w:tcPr>
          <w:p w14:paraId="3D4D29EB" w14:textId="77777777" w:rsidR="00D57922" w:rsidRDefault="00000000">
            <w:pPr>
              <w:pStyle w:val="TableText"/>
            </w:pPr>
            <w:r>
              <w:t>4</w:t>
            </w:r>
          </w:p>
        </w:tc>
        <w:tc>
          <w:tcPr>
            <w:tcW w:w="1814" w:type="dxa"/>
            <w:shd w:val="clear" w:color="auto" w:fill="EEF4F5"/>
            <w:tcMar>
              <w:top w:w="90" w:type="dxa"/>
              <w:left w:w="90" w:type="dxa"/>
              <w:bottom w:w="90" w:type="dxa"/>
              <w:right w:w="90" w:type="dxa"/>
            </w:tcMar>
            <w:vAlign w:val="center"/>
          </w:tcPr>
          <w:p w14:paraId="544DE6ED" w14:textId="77777777" w:rsidR="00D57922" w:rsidRDefault="00000000">
            <w:pPr>
              <w:pStyle w:val="TableText"/>
            </w:pPr>
            <w:r>
              <w:t>3,2</w:t>
            </w:r>
          </w:p>
        </w:tc>
      </w:tr>
    </w:tbl>
    <w:p w14:paraId="75FE5993" w14:textId="77777777" w:rsidR="00D57922" w:rsidRDefault="00D57922">
      <w:pPr>
        <w:spacing w:after="40" w:line="240" w:lineRule="auto"/>
      </w:pPr>
    </w:p>
    <w:p w14:paraId="39BF514B" w14:textId="77777777" w:rsidR="00D57922" w:rsidRDefault="00000000">
      <w:r>
        <w:t>Для A расчет равен 0,5 × 4 + 0,3 × 5 + 0,2 × 3 = 4,1. Одинаковый итог A и B не означает их полной эквивалентности: они имеют разные сильные стороны. Решение требует обсуждения компромисса и достоверности каждой оценки.</w:t>
      </w:r>
    </w:p>
    <w:p w14:paraId="7B9E6B81" w14:textId="77777777" w:rsidR="00D57922" w:rsidRDefault="00000000">
      <w:r>
        <w:t xml:space="preserve">Изменим веса: качество 0,6, затраты 0,2, скорость 0,2. Получим A = 4,0; B = 4,4; C = 3,2. При новом приоритете B выглядит предпочтительнее. Это </w:t>
      </w:r>
      <w:r>
        <w:rPr>
          <w:b/>
        </w:rPr>
        <w:t>анализ чувствительности</w:t>
      </w:r>
      <w:r>
        <w:t>, показывающий зависимость рекомендации от выбранных предположений, а не доказательство единственно правильного веса.</w:t>
      </w:r>
    </w:p>
    <w:p w14:paraId="078F3C16" w14:textId="77777777" w:rsidR="00D57922" w:rsidRDefault="00000000">
      <w:r>
        <w:t>Сами оценки также могут быть неопределенными. Поставщик обещает высокую скорость, но ее еще не проверяли на рабочем сценарии. Тогда полезно рассмотреть диапазон или провести тест, вместо того чтобы записать точный балл на основании презентации.</w:t>
      </w:r>
    </w:p>
    <w:p w14:paraId="1D00D429" w14:textId="77777777" w:rsidR="00D57922" w:rsidRDefault="00000000">
      <w:r>
        <w:t>Взвешенная сумма предполагает возможность обмена между критериями и условную сопоставимость баллов. Она удобна как язык обсуждения, но не превращает порядковые экспертные оценки в объективную физическую величину. Разница 0,1 может быть меньше неопределенности исходных суждений.</w:t>
      </w:r>
    </w:p>
    <w:p w14:paraId="43D7FD44" w14:textId="77777777" w:rsidR="00D57922" w:rsidRPr="003C4EB6" w:rsidRDefault="00000000">
      <w:pPr>
        <w:pStyle w:val="Callout"/>
        <w:shd w:val="clear" w:color="auto" w:fill="EEF4F5"/>
        <w:rPr>
          <w:lang w:val="ru-RU"/>
        </w:rPr>
      </w:pPr>
      <w:r w:rsidRPr="003C4EB6">
        <w:rPr>
          <w:lang w:val="ru-RU"/>
        </w:rPr>
        <w:t>Числовой инструмент должен делать предположения видимыми, а не прятать их за итоговым баллом.</w:t>
      </w:r>
    </w:p>
    <w:p w14:paraId="501BE169" w14:textId="77777777" w:rsidR="00D57922" w:rsidRDefault="00000000">
      <w:r>
        <w:t>В записке сохраняют исходную таблицу, объяснение весов, проверку ограничений и условия пересмотра. Если выбор изменяется от небольшого колебания параметра, руководителю важно знать это до принятия обязательств, а не после возникновения проблемы.</w:t>
      </w:r>
    </w:p>
    <w:p w14:paraId="58A34C77" w14:textId="77777777" w:rsidR="00D57922" w:rsidRDefault="00000000">
      <w:pPr>
        <w:pStyle w:val="1"/>
        <w:pageBreakBefore/>
      </w:pPr>
      <w:r>
        <w:lastRenderedPageBreak/>
        <w:t>4. Риск, неопределенность и ожидаемые затраты</w:t>
      </w:r>
    </w:p>
    <w:p w14:paraId="0BB94A79" w14:textId="77777777" w:rsidR="00D57922" w:rsidRDefault="00000000">
      <w:r>
        <w:t>При риске возможные исходы и вероятности заданы или оценены на объясненном основании. При неопределенности данных может быть недостаточно даже для устойчивой вероятностной модели. Граница зависит от качества информации, а не только от характера события.</w:t>
      </w:r>
    </w:p>
    <w:p w14:paraId="5E6AC43E" w14:textId="77777777" w:rsidR="00D57922" w:rsidRDefault="00000000">
      <w:r>
        <w:t>Рассмотрим два условных способа поставки. A стоит 80 000 тг; вероятность задержки принята равной 0,1. B стоит 60 000 тг; вероятность задержки — 0,3. Если задержка наступает, дополнительная потеря составляет 200 000 тг. Для учебного расчета других исходов нет.</w:t>
      </w:r>
    </w:p>
    <w:p w14:paraId="40F778E2" w14:textId="77777777" w:rsidR="00D57922" w:rsidRDefault="00000000">
      <w:r>
        <w:rPr>
          <w:b/>
        </w:rPr>
        <w:t>Ожидаемые затраты A:</w:t>
      </w:r>
      <w:r>
        <w:t xml:space="preserve"> 80 000 + 0,1 × 200 000 = 100 000 тг. </w:t>
      </w:r>
      <w:r>
        <w:rPr>
          <w:b/>
        </w:rPr>
        <w:t>Ожидаемые затраты B:</w:t>
      </w:r>
      <w:r>
        <w:t xml:space="preserve"> 60 000 + 0,3 × 200 000 = 120 000 тг. Более низкая исходная цена не дает меньшего ожидаемого результата в этой модели.</w:t>
      </w:r>
    </w:p>
    <w:p w14:paraId="70E54154" w14:textId="77777777" w:rsidR="00D57922" w:rsidRDefault="00000000">
      <w:r>
        <w:t>Ожидаемое значение не является счетом, который организация обязательно оплатит. В одном конкретном случае A может обойтись дороже или дешевле B. Число представляет среднюю величину при заданных вероятностях и повторении условий, а не гарантию отдельного исхода.</w:t>
      </w:r>
    </w:p>
    <w:p w14:paraId="26081B71" w14:textId="77777777" w:rsidR="00D57922" w:rsidRDefault="00000000">
      <w:r>
        <w:t>Изменение вероятности B до 0,15 даст 90 000 тг ожидаемых затрат. Поэтому вопрос «откуда взялась вероятность?» влияет на решение сильнее, чем точность арифметики. Если значения основаны только на предположении студента, их нужно назвать сценарными, а не установленными.</w:t>
      </w:r>
    </w:p>
    <w:p w14:paraId="2011957F" w14:textId="77777777" w:rsidR="00D57922" w:rsidRDefault="00000000">
      <w:r>
        <w:t>Одного среднего недостаточно при недопустимых последствиях. Риск серьезного ущерба может требовать ограничения независимо от положительного ожидаемого результата. Также учитывают распределение потерь во времени, возможность восстановления и способность организации выдержать неблагоприятный исход.</w:t>
      </w:r>
    </w:p>
    <w:p w14:paraId="5DA0DBA3" w14:textId="77777777" w:rsidR="00D57922" w:rsidRDefault="00000000">
      <w:r>
        <w:t>Управление риском может включать предотвращение причины, уменьшение последствий, распределение договорных обязанностей, создание резерва или отказ от варианта. Нельзя считать риск переданным только потому, что в плане появилась строка «отвечает поставщик»: нужны исполнимые условия и проверка их действия.</w:t>
      </w:r>
    </w:p>
    <w:p w14:paraId="7F16E662" w14:textId="77777777" w:rsidR="00D57922" w:rsidRDefault="00000000">
      <w:pPr>
        <w:pStyle w:val="1"/>
        <w:pageBreakBefore/>
      </w:pPr>
      <w:r>
        <w:lastRenderedPageBreak/>
        <w:t>5. Ошибки суждения, исполнение и разбор результата</w:t>
      </w:r>
    </w:p>
    <w:p w14:paraId="2C914C91" w14:textId="77777777" w:rsidR="00D57922" w:rsidRDefault="00000000">
      <w:r>
        <w:t>Источник [2] рассматривает ограничения управленческого суждения. Для практики особенно важны поиск только подтверждающих сведений, чрезмерное доверие первоначальной оценке, групповое согласие без обсуждения возражений и продолжение затрат лишь потому, что уже потрачено много.</w:t>
      </w:r>
    </w:p>
    <w:p w14:paraId="5D332007" w14:textId="77777777" w:rsidR="00D57922" w:rsidRDefault="00000000">
      <w:r>
        <w:t>Предположим, организация инвестировала в неудобную систему учета. Фраза «нельзя останавливаться после таких расходов» не оценивает будущие варианты. Понесенные невозвратные затраты отделяют от дальнейших расходов, пользы и обязательств перед пользователями. При этом прекращение тоже может требовать затрат на переход и сохранение данных.</w:t>
      </w:r>
    </w:p>
    <w:tbl>
      <w:tblPr>
        <w:tblW w:w="0" w:type="auto"/>
        <w:jc w:val="center"/>
        <w:tblLayout w:type="fixed"/>
        <w:tblLook w:val="04A0" w:firstRow="1" w:lastRow="0" w:firstColumn="1" w:lastColumn="0" w:noHBand="0" w:noVBand="1"/>
      </w:tblPr>
      <w:tblGrid>
        <w:gridCol w:w="3005"/>
        <w:gridCol w:w="6633"/>
      </w:tblGrid>
      <w:tr w:rsidR="00D57922" w14:paraId="7D4B6191" w14:textId="77777777">
        <w:trPr>
          <w:cantSplit/>
          <w:tblHeader/>
          <w:jc w:val="center"/>
        </w:trPr>
        <w:tc>
          <w:tcPr>
            <w:tcW w:w="3005" w:type="dxa"/>
            <w:shd w:val="clear" w:color="auto" w:fill="213C4B"/>
            <w:tcMar>
              <w:top w:w="90" w:type="dxa"/>
              <w:left w:w="90" w:type="dxa"/>
              <w:bottom w:w="90" w:type="dxa"/>
              <w:right w:w="90" w:type="dxa"/>
            </w:tcMar>
            <w:vAlign w:val="center"/>
          </w:tcPr>
          <w:p w14:paraId="0D60A614" w14:textId="77777777" w:rsidR="00D57922" w:rsidRDefault="00000000">
            <w:pPr>
              <w:pStyle w:val="TableText"/>
            </w:pPr>
            <w:r>
              <w:rPr>
                <w:b/>
                <w:color w:val="FFFFFF"/>
              </w:rPr>
              <w:t>Возможная ошибка</w:t>
            </w:r>
          </w:p>
        </w:tc>
        <w:tc>
          <w:tcPr>
            <w:tcW w:w="6633" w:type="dxa"/>
            <w:shd w:val="clear" w:color="auto" w:fill="213C4B"/>
            <w:tcMar>
              <w:top w:w="90" w:type="dxa"/>
              <w:left w:w="90" w:type="dxa"/>
              <w:bottom w:w="90" w:type="dxa"/>
              <w:right w:w="90" w:type="dxa"/>
            </w:tcMar>
            <w:vAlign w:val="center"/>
          </w:tcPr>
          <w:p w14:paraId="4FD01891" w14:textId="77777777" w:rsidR="00D57922" w:rsidRDefault="00000000">
            <w:pPr>
              <w:pStyle w:val="TableText"/>
            </w:pPr>
            <w:r>
              <w:rPr>
                <w:b/>
                <w:color w:val="FFFFFF"/>
              </w:rPr>
              <w:t>Организационная защита</w:t>
            </w:r>
          </w:p>
        </w:tc>
      </w:tr>
      <w:tr w:rsidR="00D57922" w14:paraId="7BFFC306" w14:textId="77777777">
        <w:trPr>
          <w:cantSplit/>
          <w:jc w:val="center"/>
        </w:trPr>
        <w:tc>
          <w:tcPr>
            <w:tcW w:w="3005" w:type="dxa"/>
            <w:shd w:val="clear" w:color="auto" w:fill="EEF4F5"/>
            <w:tcMar>
              <w:top w:w="90" w:type="dxa"/>
              <w:left w:w="90" w:type="dxa"/>
              <w:bottom w:w="90" w:type="dxa"/>
              <w:right w:w="90" w:type="dxa"/>
            </w:tcMar>
            <w:vAlign w:val="center"/>
          </w:tcPr>
          <w:p w14:paraId="4FEAF149" w14:textId="77777777" w:rsidR="00D57922" w:rsidRDefault="00000000">
            <w:pPr>
              <w:pStyle w:val="TableText"/>
            </w:pPr>
            <w:r>
              <w:t>Поиск подтверждения</w:t>
            </w:r>
          </w:p>
        </w:tc>
        <w:tc>
          <w:tcPr>
            <w:tcW w:w="6633" w:type="dxa"/>
            <w:shd w:val="clear" w:color="auto" w:fill="EEF4F5"/>
            <w:tcMar>
              <w:top w:w="90" w:type="dxa"/>
              <w:left w:w="90" w:type="dxa"/>
              <w:bottom w:w="90" w:type="dxa"/>
              <w:right w:w="90" w:type="dxa"/>
            </w:tcMar>
            <w:vAlign w:val="center"/>
          </w:tcPr>
          <w:p w14:paraId="03374FDF" w14:textId="77777777" w:rsidR="00D57922" w:rsidRPr="003C4EB6" w:rsidRDefault="00000000">
            <w:pPr>
              <w:pStyle w:val="TableText"/>
              <w:rPr>
                <w:lang w:val="ru-RU"/>
              </w:rPr>
            </w:pPr>
            <w:r w:rsidRPr="003C4EB6">
              <w:rPr>
                <w:lang w:val="ru-RU"/>
              </w:rPr>
              <w:t>Заранее назвать наблюдение, которое опровергнет гипотезу</w:t>
            </w:r>
          </w:p>
        </w:tc>
      </w:tr>
      <w:tr w:rsidR="00D57922" w14:paraId="2AC6FC35" w14:textId="77777777">
        <w:trPr>
          <w:cantSplit/>
          <w:jc w:val="center"/>
        </w:trPr>
        <w:tc>
          <w:tcPr>
            <w:tcW w:w="3005" w:type="dxa"/>
            <w:tcMar>
              <w:top w:w="90" w:type="dxa"/>
              <w:left w:w="90" w:type="dxa"/>
              <w:bottom w:w="90" w:type="dxa"/>
              <w:right w:w="90" w:type="dxa"/>
            </w:tcMar>
            <w:vAlign w:val="center"/>
          </w:tcPr>
          <w:p w14:paraId="1DE9B30C" w14:textId="77777777" w:rsidR="00D57922" w:rsidRDefault="00000000">
            <w:pPr>
              <w:pStyle w:val="TableText"/>
            </w:pPr>
            <w:r>
              <w:t>Давление согласия</w:t>
            </w:r>
          </w:p>
        </w:tc>
        <w:tc>
          <w:tcPr>
            <w:tcW w:w="6633" w:type="dxa"/>
            <w:tcMar>
              <w:top w:w="90" w:type="dxa"/>
              <w:left w:w="90" w:type="dxa"/>
              <w:bottom w:w="90" w:type="dxa"/>
              <w:right w:w="90" w:type="dxa"/>
            </w:tcMar>
            <w:vAlign w:val="center"/>
          </w:tcPr>
          <w:p w14:paraId="29869320" w14:textId="77777777" w:rsidR="00D57922" w:rsidRPr="003C4EB6" w:rsidRDefault="00000000">
            <w:pPr>
              <w:pStyle w:val="TableText"/>
              <w:rPr>
                <w:lang w:val="ru-RU"/>
              </w:rPr>
            </w:pPr>
            <w:r w:rsidRPr="003C4EB6">
              <w:rPr>
                <w:lang w:val="ru-RU"/>
              </w:rPr>
              <w:t>Собрать независимые мнения до общего обсуждения</w:t>
            </w:r>
          </w:p>
        </w:tc>
      </w:tr>
      <w:tr w:rsidR="00D57922" w14:paraId="3C3275ED" w14:textId="77777777">
        <w:trPr>
          <w:cantSplit/>
          <w:jc w:val="center"/>
        </w:trPr>
        <w:tc>
          <w:tcPr>
            <w:tcW w:w="3005" w:type="dxa"/>
            <w:shd w:val="clear" w:color="auto" w:fill="EEF4F5"/>
            <w:tcMar>
              <w:top w:w="90" w:type="dxa"/>
              <w:left w:w="90" w:type="dxa"/>
              <w:bottom w:w="90" w:type="dxa"/>
              <w:right w:w="90" w:type="dxa"/>
            </w:tcMar>
            <w:vAlign w:val="center"/>
          </w:tcPr>
          <w:p w14:paraId="2EC63EF8" w14:textId="77777777" w:rsidR="00D57922" w:rsidRDefault="00000000">
            <w:pPr>
              <w:pStyle w:val="TableText"/>
            </w:pPr>
            <w:r>
              <w:t>Переоценка точности</w:t>
            </w:r>
          </w:p>
        </w:tc>
        <w:tc>
          <w:tcPr>
            <w:tcW w:w="6633" w:type="dxa"/>
            <w:shd w:val="clear" w:color="auto" w:fill="EEF4F5"/>
            <w:tcMar>
              <w:top w:w="90" w:type="dxa"/>
              <w:left w:w="90" w:type="dxa"/>
              <w:bottom w:w="90" w:type="dxa"/>
              <w:right w:w="90" w:type="dxa"/>
            </w:tcMar>
            <w:vAlign w:val="center"/>
          </w:tcPr>
          <w:p w14:paraId="066A6F0A" w14:textId="77777777" w:rsidR="00D57922" w:rsidRPr="003C4EB6" w:rsidRDefault="00000000">
            <w:pPr>
              <w:pStyle w:val="TableText"/>
              <w:rPr>
                <w:lang w:val="ru-RU"/>
              </w:rPr>
            </w:pPr>
            <w:r w:rsidRPr="003C4EB6">
              <w:rPr>
                <w:lang w:val="ru-RU"/>
              </w:rPr>
              <w:t>Показать диапазон и чувствительность результата</w:t>
            </w:r>
          </w:p>
        </w:tc>
      </w:tr>
      <w:tr w:rsidR="00D57922" w14:paraId="0CA00E6E" w14:textId="77777777">
        <w:trPr>
          <w:cantSplit/>
          <w:jc w:val="center"/>
        </w:trPr>
        <w:tc>
          <w:tcPr>
            <w:tcW w:w="3005" w:type="dxa"/>
            <w:tcMar>
              <w:top w:w="90" w:type="dxa"/>
              <w:left w:w="90" w:type="dxa"/>
              <w:bottom w:w="90" w:type="dxa"/>
              <w:right w:w="90" w:type="dxa"/>
            </w:tcMar>
            <w:vAlign w:val="center"/>
          </w:tcPr>
          <w:p w14:paraId="76E2CDC6" w14:textId="77777777" w:rsidR="00D57922" w:rsidRDefault="00000000">
            <w:pPr>
              <w:pStyle w:val="TableText"/>
            </w:pPr>
            <w:r>
              <w:t>Игнорирование исполнения</w:t>
            </w:r>
          </w:p>
        </w:tc>
        <w:tc>
          <w:tcPr>
            <w:tcW w:w="6633" w:type="dxa"/>
            <w:tcMar>
              <w:top w:w="90" w:type="dxa"/>
              <w:left w:w="90" w:type="dxa"/>
              <w:bottom w:w="90" w:type="dxa"/>
              <w:right w:w="90" w:type="dxa"/>
            </w:tcMar>
            <w:vAlign w:val="center"/>
          </w:tcPr>
          <w:p w14:paraId="75FD2C79" w14:textId="77777777" w:rsidR="00D57922" w:rsidRPr="003C4EB6" w:rsidRDefault="00000000">
            <w:pPr>
              <w:pStyle w:val="TableText"/>
              <w:rPr>
                <w:lang w:val="ru-RU"/>
              </w:rPr>
            </w:pPr>
            <w:r w:rsidRPr="003C4EB6">
              <w:rPr>
                <w:lang w:val="ru-RU"/>
              </w:rPr>
              <w:t>Назначить ответственного, ресурс и условие приемки</w:t>
            </w:r>
          </w:p>
        </w:tc>
      </w:tr>
      <w:tr w:rsidR="00D57922" w14:paraId="2E5579B6" w14:textId="77777777">
        <w:trPr>
          <w:cantSplit/>
          <w:jc w:val="center"/>
        </w:trPr>
        <w:tc>
          <w:tcPr>
            <w:tcW w:w="3005" w:type="dxa"/>
            <w:shd w:val="clear" w:color="auto" w:fill="EEF4F5"/>
            <w:tcMar>
              <w:top w:w="90" w:type="dxa"/>
              <w:left w:w="90" w:type="dxa"/>
              <w:bottom w:w="90" w:type="dxa"/>
              <w:right w:w="90" w:type="dxa"/>
            </w:tcMar>
            <w:vAlign w:val="center"/>
          </w:tcPr>
          <w:p w14:paraId="735637CC" w14:textId="77777777" w:rsidR="00D57922" w:rsidRDefault="00000000">
            <w:pPr>
              <w:pStyle w:val="TableText"/>
            </w:pPr>
            <w:r>
              <w:t>Оценка только по исходу</w:t>
            </w:r>
          </w:p>
        </w:tc>
        <w:tc>
          <w:tcPr>
            <w:tcW w:w="6633" w:type="dxa"/>
            <w:shd w:val="clear" w:color="auto" w:fill="EEF4F5"/>
            <w:tcMar>
              <w:top w:w="90" w:type="dxa"/>
              <w:left w:w="90" w:type="dxa"/>
              <w:bottom w:w="90" w:type="dxa"/>
              <w:right w:w="90" w:type="dxa"/>
            </w:tcMar>
            <w:vAlign w:val="center"/>
          </w:tcPr>
          <w:p w14:paraId="4DA782E5" w14:textId="77777777" w:rsidR="00D57922" w:rsidRPr="003C4EB6" w:rsidRDefault="00000000">
            <w:pPr>
              <w:pStyle w:val="TableText"/>
              <w:rPr>
                <w:lang w:val="ru-RU"/>
              </w:rPr>
            </w:pPr>
            <w:r w:rsidRPr="003C4EB6">
              <w:rPr>
                <w:lang w:val="ru-RU"/>
              </w:rPr>
              <w:t>Проверить и процедуру, и последствия</w:t>
            </w:r>
          </w:p>
        </w:tc>
      </w:tr>
    </w:tbl>
    <w:p w14:paraId="202B11E3" w14:textId="77777777" w:rsidR="00D57922" w:rsidRDefault="00D57922">
      <w:pPr>
        <w:spacing w:after="40" w:line="240" w:lineRule="auto"/>
      </w:pPr>
    </w:p>
    <w:p w14:paraId="2F59F1FB" w14:textId="77777777" w:rsidR="00D57922" w:rsidRDefault="00000000">
      <w:r>
        <w:t xml:space="preserve">После выбора составляют </w:t>
      </w:r>
      <w:r>
        <w:rPr>
          <w:b/>
        </w:rPr>
        <w:t>журнал решения</w:t>
      </w:r>
      <w:r>
        <w:t>: дата, вопрос, факты, альтернативы, допущения, выбранный вариант, ответственный, срок проверки и условия остановки. Он нужен не для оправдания задним числом, а для восстановления логики при новых сведениях.</w:t>
      </w:r>
    </w:p>
    <w:p w14:paraId="28A4ECB9" w14:textId="77777777" w:rsidR="00D57922" w:rsidRDefault="00000000">
      <w:r>
        <w:t>Решение должно дойти до исполнителей в применимой форме. «Выбрана система B» не объясняет порядок переноса данных, обучение и контроль доступа. Управленческий цикл включает организацию реализации, а не заканчивается утвержденной таблицей.</w:t>
      </w:r>
    </w:p>
    <w:p w14:paraId="5A1A3412" w14:textId="77777777" w:rsidR="00D57922" w:rsidRDefault="00000000">
      <w:r>
        <w:t>При проверке результата различают ошибку модели, изменившиеся условия и нарушение исполнения. Каждая причина требует своего действия. Если поставщик изменил условия, необходимо пересчитать варианты; если не выполнен согласованный тест, нужно восстановить процедуру; если гипотеза пользы не подтвердилась, пересмотреть само решение.</w:t>
      </w:r>
    </w:p>
    <w:p w14:paraId="3A4C7F97" w14:textId="77777777" w:rsidR="00D57922" w:rsidRDefault="00000000">
      <w:r>
        <w:t>Для бакалаврского задания достаточно прозрачного описательного анализа. Не нужно добавлять сложную статистику ради впечатления научности. Качественное решение показывает, что известно, что предположено и какое новое наблюдение способно изменить действие организации.</w:t>
      </w:r>
    </w:p>
    <w:p w14:paraId="23C790A9" w14:textId="77777777" w:rsidR="00D57922" w:rsidRDefault="00000000">
      <w:pPr>
        <w:pStyle w:val="1"/>
        <w:pageBreakBefore/>
      </w:pPr>
      <w:r>
        <w:lastRenderedPageBreak/>
        <w:t>Самопроверка и самостоятельная работа</w:t>
      </w:r>
    </w:p>
    <w:p w14:paraId="3A055DD7" w14:textId="77777777" w:rsidR="00D57922" w:rsidRPr="003C4EB6" w:rsidRDefault="00000000">
      <w:pPr>
        <w:pStyle w:val="Small"/>
        <w:rPr>
          <w:lang w:val="ru-RU"/>
        </w:rPr>
      </w:pPr>
      <w:r w:rsidRPr="003C4EB6">
        <w:rPr>
          <w:lang w:val="ru-RU"/>
        </w:rPr>
        <w:t>Сначала сформулируйте ответ самостоятельно, затем сопоставьте его с ориентиром. Допустимы другие примеры при сохранении корректной логики.</w:t>
      </w:r>
    </w:p>
    <w:p w14:paraId="7AEDCEA7" w14:textId="77777777" w:rsidR="00D57922" w:rsidRDefault="00000000">
      <w:r>
        <w:rPr>
          <w:b/>
        </w:rPr>
        <w:t>1. Почему формулировка «нужно купить программу» не описывает проблему?</w:t>
      </w:r>
      <w:r>
        <w:t xml:space="preserve"> Она уже содержит решение. Сначала необходимо назвать значимый разрыв и проверить возможные причины.</w:t>
      </w:r>
    </w:p>
    <w:p w14:paraId="101DDCCC" w14:textId="77777777" w:rsidR="00D57922" w:rsidRDefault="00000000">
      <w:r>
        <w:rPr>
          <w:b/>
        </w:rPr>
        <w:t>2. Можно ли компенсировать обязательное требование высоким итоговым баллом?</w:t>
      </w:r>
      <w:r>
        <w:t xml:space="preserve"> Нет. Допустимость проверяется до сравнения предпочтений.</w:t>
      </w:r>
    </w:p>
    <w:p w14:paraId="64AC48F6" w14:textId="77777777" w:rsidR="00D57922" w:rsidRDefault="00000000">
      <w:r>
        <w:rPr>
          <w:b/>
        </w:rPr>
        <w:t>3. Что означает равенство взвешенных оценок?</w:t>
      </w:r>
      <w:r>
        <w:t xml:space="preserve"> Только равенство итогов в выбранной модели; профили преимуществ и неопределенность могут различаться.</w:t>
      </w:r>
    </w:p>
    <w:p w14:paraId="4077F0D1" w14:textId="77777777" w:rsidR="00D57922" w:rsidRDefault="00000000">
      <w:r>
        <w:rPr>
          <w:b/>
        </w:rPr>
        <w:t>4. Ожидаемые затраты — гарантированная будущая сумма?</w:t>
      </w:r>
      <w:r>
        <w:t xml:space="preserve"> Нет. Это модельная средняя величина при заданных исходах и вероятностях.</w:t>
      </w:r>
    </w:p>
    <w:p w14:paraId="545E4789" w14:textId="77777777" w:rsidR="00D57922" w:rsidRDefault="00000000">
      <w:r>
        <w:rPr>
          <w:b/>
        </w:rPr>
        <w:t>5. Почему удачный результат не доказывает хорошую процедуру?</w:t>
      </w:r>
      <w:r>
        <w:t xml:space="preserve"> Он мог зависеть от благоприятного случая. Нужно оценить основания и способ принятия решения отдельно.</w:t>
      </w:r>
    </w:p>
    <w:p w14:paraId="2BAB2E48" w14:textId="4A12D881" w:rsidR="00D57922" w:rsidRPr="003C4EB6" w:rsidRDefault="00D57922">
      <w:pPr>
        <w:pStyle w:val="Small"/>
        <w:rPr>
          <w:lang w:val="ru-RU"/>
        </w:rPr>
      </w:pPr>
    </w:p>
    <w:sectPr w:rsidR="00D57922" w:rsidRPr="003C4EB6" w:rsidSect="00034616">
      <w:headerReference w:type="default" r:id="rId8"/>
      <w:footerReference w:type="default" r:id="rId9"/>
      <w:pgSz w:w="11906" w:h="16838"/>
      <w:pgMar w:top="1020"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B94EB" w14:textId="77777777" w:rsidR="00F85FA1" w:rsidRDefault="00F85FA1">
      <w:pPr>
        <w:spacing w:after="0" w:line="240" w:lineRule="auto"/>
      </w:pPr>
      <w:r>
        <w:separator/>
      </w:r>
    </w:p>
  </w:endnote>
  <w:endnote w:type="continuationSeparator" w:id="0">
    <w:p w14:paraId="799E4634" w14:textId="77777777" w:rsidR="00F85FA1" w:rsidRDefault="00F8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A2A3" w14:textId="36813A53" w:rsidR="00D57922" w:rsidRDefault="00D57922">
    <w:pPr>
      <w:pStyle w:val="Small"/>
      <w:tabs>
        <w:tab w:val="lef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8B04" w14:textId="77777777" w:rsidR="00F85FA1" w:rsidRDefault="00F85FA1">
      <w:pPr>
        <w:spacing w:after="0" w:line="240" w:lineRule="auto"/>
      </w:pPr>
      <w:r>
        <w:separator/>
      </w:r>
    </w:p>
  </w:footnote>
  <w:footnote w:type="continuationSeparator" w:id="0">
    <w:p w14:paraId="7D36D2B6" w14:textId="77777777" w:rsidR="00F85FA1" w:rsidRDefault="00F85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472D" w14:textId="12E6ACD6" w:rsidR="00D57922" w:rsidRDefault="00D57922">
    <w:pPr>
      <w:pStyle w:val="Small"/>
      <w:pBdr>
        <w:bottom w:val="single" w:sz="4" w:space="0" w:color="BFCED2"/>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01454790">
    <w:abstractNumId w:val="8"/>
  </w:num>
  <w:num w:numId="2" w16cid:durableId="1151412063">
    <w:abstractNumId w:val="6"/>
  </w:num>
  <w:num w:numId="3" w16cid:durableId="1196504074">
    <w:abstractNumId w:val="5"/>
  </w:num>
  <w:num w:numId="4" w16cid:durableId="269044988">
    <w:abstractNumId w:val="4"/>
  </w:num>
  <w:num w:numId="5" w16cid:durableId="825315456">
    <w:abstractNumId w:val="7"/>
  </w:num>
  <w:num w:numId="6" w16cid:durableId="323975796">
    <w:abstractNumId w:val="3"/>
  </w:num>
  <w:num w:numId="7" w16cid:durableId="1243031155">
    <w:abstractNumId w:val="2"/>
  </w:num>
  <w:num w:numId="8" w16cid:durableId="1773016747">
    <w:abstractNumId w:val="1"/>
  </w:num>
  <w:num w:numId="9" w16cid:durableId="73088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4EB6"/>
    <w:rsid w:val="00AA1D8D"/>
    <w:rsid w:val="00B47730"/>
    <w:rsid w:val="00C01CDC"/>
    <w:rsid w:val="00CB0664"/>
    <w:rsid w:val="00D57922"/>
    <w:rsid w:val="00F85F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D9765"/>
  <w14:defaultImageDpi w14:val="300"/>
  <w15:docId w15:val="{3B143D86-C575-44E8-A5B7-12000C3D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1" w:lineRule="auto"/>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before="160" w:after="180"/>
      <w:outlineLvl w:val="0"/>
    </w:pPr>
    <w:rPr>
      <w:rFonts w:asciiTheme="majorHAnsi" w:eastAsiaTheme="majorEastAsia" w:hAnsiTheme="majorHAnsi" w:cstheme="majorBidi"/>
      <w:b/>
      <w:bCs/>
      <w:color w:val="213C4B"/>
      <w:sz w:val="30"/>
      <w:szCs w:val="28"/>
    </w:rPr>
  </w:style>
  <w:style w:type="paragraph" w:styleId="21">
    <w:name w:val="heading 2"/>
    <w:basedOn w:val="a1"/>
    <w:next w:val="a1"/>
    <w:link w:val="22"/>
    <w:uiPriority w:val="9"/>
    <w:unhideWhenUsed/>
    <w:qFormat/>
    <w:rsid w:val="00FC693F"/>
    <w:pPr>
      <w:keepNext/>
      <w:keepLines/>
      <w:spacing w:before="160" w:after="180"/>
      <w:outlineLvl w:val="1"/>
    </w:pPr>
    <w:rPr>
      <w:rFonts w:asciiTheme="majorHAnsi" w:eastAsiaTheme="majorEastAsia" w:hAnsiTheme="majorHAnsi" w:cstheme="majorBidi"/>
      <w:b/>
      <w:bCs/>
      <w:color w:val="28747A"/>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C4B"/>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Courier" w:hAnsi="Courier" w:cs="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20" w:line="259" w:lineRule="auto"/>
    </w:pPr>
    <w:rPr>
      <w:rFonts w:ascii="Arial" w:eastAsia="Arial" w:hAnsi="Arial" w:cs="Arial"/>
      <w:color w:val="5D6870"/>
      <w:sz w:val="19"/>
    </w:rPr>
  </w:style>
  <w:style w:type="paragraph" w:customStyle="1" w:styleId="TableText">
    <w:name w:val="Table Text"/>
    <w:pPr>
      <w:spacing w:after="40" w:line="259" w:lineRule="auto"/>
    </w:pPr>
    <w:rPr>
      <w:rFonts w:ascii="Arial" w:eastAsia="Arial" w:hAnsi="Arial" w:cs="Arial"/>
      <w:sz w:val="20"/>
    </w:rPr>
  </w:style>
  <w:style w:type="paragraph" w:customStyle="1" w:styleId="Callout">
    <w:name w:val="Callout"/>
    <w:pPr>
      <w:spacing w:before="120" w:after="160" w:line="259" w:lineRule="auto"/>
      <w:ind w:left="142" w:right="11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1609</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Управленческие решения в условиях риска и неопределенности</dc:title>
  <dc:subject>Лекционный материал курса «Основы менеджмента»</dc:subject>
  <dc:creator>Учебные материалы</dc:creator>
  <cp:keywords>менеджмент, бакалавриат,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2026-10-06T13:42:00Z</dcterms:modified>
  <cp:category/>
  <dc:language>ru-RU</dc:language>
</cp:coreProperties>
</file>