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ED340" w14:textId="77777777" w:rsidR="006B4C7C" w:rsidRPr="006B4C7C" w:rsidRDefault="00000000" w:rsidP="006B4C7C">
      <w:pPr>
        <w:pStyle w:val="aa"/>
      </w:pPr>
      <w:r>
        <w:t>Управленческий контроль, показатели и основы бюджетирования</w:t>
      </w:r>
    </w:p>
    <w:p w14:paraId="3F640431" w14:textId="77777777" w:rsidR="006B4C7C" w:rsidRDefault="006B4C7C" w:rsidP="006B4C7C">
      <w:pPr>
        <w:pStyle w:val="aa"/>
        <w:rPr>
          <w:lang w:val="en-US"/>
        </w:rPr>
      </w:pPr>
    </w:p>
    <w:p w14:paraId="3363B326" w14:textId="750AEE47" w:rsidR="007544FF" w:rsidRDefault="00000000" w:rsidP="006B4C7C">
      <w:pPr>
        <w:pStyle w:val="aa"/>
      </w:pPr>
      <w:r>
        <w:t>1. Цикл и виды управленческого контроля</w:t>
      </w:r>
    </w:p>
    <w:p w14:paraId="12DC7E0B" w14:textId="77777777" w:rsidR="007544FF" w:rsidRDefault="00000000">
      <w:r>
        <w:t>В учебной модели контроль включает установление критерия, измерение, сравнение, анализ причины и корректировку. Критерий должен быть понятен до оценки результата. Если его меняют после получения данных, изменение фиксируется и объясняется.</w:t>
      </w:r>
    </w:p>
    <w:p w14:paraId="2FDC192E" w14:textId="77777777" w:rsidR="007544FF" w:rsidRDefault="00000000">
      <w:r>
        <w:t>Предварительный контроль проверяет готовность ресурса и условий, текущий — ход выполнения, итоговый — полученный результат. Эти виды дополняют друг друга: финальная проверка не заменяет профилактику, а наличие готового входа не гарантирует качества выхода.</w:t>
      </w:r>
    </w:p>
    <w:tbl>
      <w:tblPr>
        <w:tblW w:w="0" w:type="auto"/>
        <w:jc w:val="center"/>
        <w:tblLayout w:type="fixed"/>
        <w:tblLook w:val="04A0" w:firstRow="1" w:lastRow="0" w:firstColumn="1" w:lastColumn="0" w:noHBand="0" w:noVBand="1"/>
      </w:tblPr>
      <w:tblGrid>
        <w:gridCol w:w="2268"/>
        <w:gridCol w:w="3515"/>
        <w:gridCol w:w="3855"/>
      </w:tblGrid>
      <w:tr w:rsidR="007544FF" w14:paraId="1A8D047D" w14:textId="77777777">
        <w:trPr>
          <w:cantSplit/>
          <w:tblHeader/>
          <w:jc w:val="center"/>
        </w:trPr>
        <w:tc>
          <w:tcPr>
            <w:tcW w:w="2268" w:type="dxa"/>
            <w:shd w:val="clear" w:color="auto" w:fill="213C4B"/>
            <w:tcMar>
              <w:top w:w="90" w:type="dxa"/>
              <w:left w:w="90" w:type="dxa"/>
              <w:bottom w:w="90" w:type="dxa"/>
              <w:right w:w="90" w:type="dxa"/>
            </w:tcMar>
            <w:vAlign w:val="center"/>
          </w:tcPr>
          <w:p w14:paraId="29BEC17E" w14:textId="77777777" w:rsidR="007544FF" w:rsidRDefault="00000000">
            <w:pPr>
              <w:pStyle w:val="TableText"/>
            </w:pPr>
            <w:r>
              <w:rPr>
                <w:b/>
                <w:color w:val="FFFFFF"/>
              </w:rPr>
              <w:t>Момент контроля</w:t>
            </w:r>
          </w:p>
        </w:tc>
        <w:tc>
          <w:tcPr>
            <w:tcW w:w="3515" w:type="dxa"/>
            <w:shd w:val="clear" w:color="auto" w:fill="213C4B"/>
            <w:tcMar>
              <w:top w:w="90" w:type="dxa"/>
              <w:left w:w="90" w:type="dxa"/>
              <w:bottom w:w="90" w:type="dxa"/>
              <w:right w:w="90" w:type="dxa"/>
            </w:tcMar>
            <w:vAlign w:val="center"/>
          </w:tcPr>
          <w:p w14:paraId="1611D911" w14:textId="77777777" w:rsidR="007544FF" w:rsidRDefault="00000000">
            <w:pPr>
              <w:pStyle w:val="TableText"/>
            </w:pPr>
            <w:r>
              <w:rPr>
                <w:b/>
                <w:color w:val="FFFFFF"/>
              </w:rPr>
              <w:t>Пример</w:t>
            </w:r>
          </w:p>
        </w:tc>
        <w:tc>
          <w:tcPr>
            <w:tcW w:w="3855" w:type="dxa"/>
            <w:shd w:val="clear" w:color="auto" w:fill="213C4B"/>
            <w:tcMar>
              <w:top w:w="90" w:type="dxa"/>
              <w:left w:w="90" w:type="dxa"/>
              <w:bottom w:w="90" w:type="dxa"/>
              <w:right w:w="90" w:type="dxa"/>
            </w:tcMar>
            <w:vAlign w:val="center"/>
          </w:tcPr>
          <w:p w14:paraId="45C10FEE" w14:textId="77777777" w:rsidR="007544FF" w:rsidRDefault="00000000">
            <w:pPr>
              <w:pStyle w:val="TableText"/>
            </w:pPr>
            <w:r>
              <w:rPr>
                <w:b/>
                <w:color w:val="FFFFFF"/>
              </w:rPr>
              <w:t>Управленческий смысл</w:t>
            </w:r>
          </w:p>
        </w:tc>
      </w:tr>
      <w:tr w:rsidR="007544FF" w14:paraId="5B9E4081" w14:textId="77777777">
        <w:trPr>
          <w:cantSplit/>
          <w:jc w:val="center"/>
        </w:trPr>
        <w:tc>
          <w:tcPr>
            <w:tcW w:w="2268" w:type="dxa"/>
            <w:shd w:val="clear" w:color="auto" w:fill="EEF4F5"/>
            <w:tcMar>
              <w:top w:w="90" w:type="dxa"/>
              <w:left w:w="90" w:type="dxa"/>
              <w:bottom w:w="90" w:type="dxa"/>
              <w:right w:w="90" w:type="dxa"/>
            </w:tcMar>
            <w:vAlign w:val="center"/>
          </w:tcPr>
          <w:p w14:paraId="2EF1FFE2" w14:textId="77777777" w:rsidR="007544FF" w:rsidRDefault="00000000">
            <w:pPr>
              <w:pStyle w:val="TableText"/>
            </w:pPr>
            <w:r>
              <w:t>До начала</w:t>
            </w:r>
          </w:p>
        </w:tc>
        <w:tc>
          <w:tcPr>
            <w:tcW w:w="3515" w:type="dxa"/>
            <w:shd w:val="clear" w:color="auto" w:fill="EEF4F5"/>
            <w:tcMar>
              <w:top w:w="90" w:type="dxa"/>
              <w:left w:w="90" w:type="dxa"/>
              <w:bottom w:w="90" w:type="dxa"/>
              <w:right w:w="90" w:type="dxa"/>
            </w:tcMar>
            <w:vAlign w:val="center"/>
          </w:tcPr>
          <w:p w14:paraId="14F25E17" w14:textId="77777777" w:rsidR="007544FF" w:rsidRPr="006B4C7C" w:rsidRDefault="00000000">
            <w:pPr>
              <w:pStyle w:val="TableText"/>
              <w:rPr>
                <w:lang w:val="ru-RU"/>
              </w:rPr>
            </w:pPr>
            <w:r w:rsidRPr="006B4C7C">
              <w:rPr>
                <w:lang w:val="ru-RU"/>
              </w:rPr>
              <w:t>Проверены доступы, материалы и квалификация</w:t>
            </w:r>
          </w:p>
        </w:tc>
        <w:tc>
          <w:tcPr>
            <w:tcW w:w="3855" w:type="dxa"/>
            <w:shd w:val="clear" w:color="auto" w:fill="EEF4F5"/>
            <w:tcMar>
              <w:top w:w="90" w:type="dxa"/>
              <w:left w:w="90" w:type="dxa"/>
              <w:bottom w:w="90" w:type="dxa"/>
              <w:right w:w="90" w:type="dxa"/>
            </w:tcMar>
            <w:vAlign w:val="center"/>
          </w:tcPr>
          <w:p w14:paraId="31105BCB" w14:textId="77777777" w:rsidR="007544FF" w:rsidRPr="006B4C7C" w:rsidRDefault="00000000">
            <w:pPr>
              <w:pStyle w:val="TableText"/>
              <w:rPr>
                <w:lang w:val="ru-RU"/>
              </w:rPr>
            </w:pPr>
            <w:r w:rsidRPr="006B4C7C">
              <w:rPr>
                <w:lang w:val="ru-RU"/>
              </w:rPr>
              <w:t>Не начинать заведомо неготовую работу</w:t>
            </w:r>
          </w:p>
        </w:tc>
      </w:tr>
      <w:tr w:rsidR="007544FF" w14:paraId="1DFE4045" w14:textId="77777777">
        <w:trPr>
          <w:cantSplit/>
          <w:jc w:val="center"/>
        </w:trPr>
        <w:tc>
          <w:tcPr>
            <w:tcW w:w="2268" w:type="dxa"/>
            <w:tcMar>
              <w:top w:w="90" w:type="dxa"/>
              <w:left w:w="90" w:type="dxa"/>
              <w:bottom w:w="90" w:type="dxa"/>
              <w:right w:w="90" w:type="dxa"/>
            </w:tcMar>
            <w:vAlign w:val="center"/>
          </w:tcPr>
          <w:p w14:paraId="611D72D2" w14:textId="77777777" w:rsidR="007544FF" w:rsidRDefault="00000000">
            <w:pPr>
              <w:pStyle w:val="TableText"/>
            </w:pPr>
            <w:r>
              <w:t>В ходе</w:t>
            </w:r>
          </w:p>
        </w:tc>
        <w:tc>
          <w:tcPr>
            <w:tcW w:w="3515" w:type="dxa"/>
            <w:tcMar>
              <w:top w:w="90" w:type="dxa"/>
              <w:left w:w="90" w:type="dxa"/>
              <w:bottom w:w="90" w:type="dxa"/>
              <w:right w:w="90" w:type="dxa"/>
            </w:tcMar>
            <w:vAlign w:val="center"/>
          </w:tcPr>
          <w:p w14:paraId="41CAD9F3" w14:textId="77777777" w:rsidR="007544FF" w:rsidRPr="006B4C7C" w:rsidRDefault="00000000">
            <w:pPr>
              <w:pStyle w:val="TableText"/>
              <w:rPr>
                <w:lang w:val="ru-RU"/>
              </w:rPr>
            </w:pPr>
            <w:r w:rsidRPr="006B4C7C">
              <w:rPr>
                <w:lang w:val="ru-RU"/>
              </w:rPr>
              <w:t>Выявлено отклонение на критическом переходе</w:t>
            </w:r>
          </w:p>
        </w:tc>
        <w:tc>
          <w:tcPr>
            <w:tcW w:w="3855" w:type="dxa"/>
            <w:tcMar>
              <w:top w:w="90" w:type="dxa"/>
              <w:left w:w="90" w:type="dxa"/>
              <w:bottom w:w="90" w:type="dxa"/>
              <w:right w:w="90" w:type="dxa"/>
            </w:tcMar>
            <w:vAlign w:val="center"/>
          </w:tcPr>
          <w:p w14:paraId="1E181C31" w14:textId="77777777" w:rsidR="007544FF" w:rsidRDefault="00000000">
            <w:pPr>
              <w:pStyle w:val="TableText"/>
            </w:pPr>
            <w:proofErr w:type="spellStart"/>
            <w:r>
              <w:t>Исправить</w:t>
            </w:r>
            <w:proofErr w:type="spellEnd"/>
            <w:r>
              <w:t xml:space="preserve"> </w:t>
            </w:r>
            <w:proofErr w:type="spellStart"/>
            <w:r>
              <w:t>до</w:t>
            </w:r>
            <w:proofErr w:type="spellEnd"/>
            <w:r>
              <w:t xml:space="preserve"> </w:t>
            </w:r>
            <w:proofErr w:type="spellStart"/>
            <w:r>
              <w:t>распространения</w:t>
            </w:r>
            <w:proofErr w:type="spellEnd"/>
            <w:r>
              <w:t xml:space="preserve"> </w:t>
            </w:r>
            <w:proofErr w:type="spellStart"/>
            <w:r>
              <w:t>последствия</w:t>
            </w:r>
            <w:proofErr w:type="spellEnd"/>
          </w:p>
        </w:tc>
      </w:tr>
      <w:tr w:rsidR="007544FF" w14:paraId="34E1F4F1" w14:textId="77777777">
        <w:trPr>
          <w:cantSplit/>
          <w:jc w:val="center"/>
        </w:trPr>
        <w:tc>
          <w:tcPr>
            <w:tcW w:w="2268" w:type="dxa"/>
            <w:shd w:val="clear" w:color="auto" w:fill="EEF4F5"/>
            <w:tcMar>
              <w:top w:w="90" w:type="dxa"/>
              <w:left w:w="90" w:type="dxa"/>
              <w:bottom w:w="90" w:type="dxa"/>
              <w:right w:w="90" w:type="dxa"/>
            </w:tcMar>
            <w:vAlign w:val="center"/>
          </w:tcPr>
          <w:p w14:paraId="3DF460F2" w14:textId="77777777" w:rsidR="007544FF" w:rsidRDefault="00000000">
            <w:pPr>
              <w:pStyle w:val="TableText"/>
            </w:pPr>
            <w:r>
              <w:t>После завершения</w:t>
            </w:r>
          </w:p>
        </w:tc>
        <w:tc>
          <w:tcPr>
            <w:tcW w:w="3515" w:type="dxa"/>
            <w:shd w:val="clear" w:color="auto" w:fill="EEF4F5"/>
            <w:tcMar>
              <w:top w:w="90" w:type="dxa"/>
              <w:left w:w="90" w:type="dxa"/>
              <w:bottom w:w="90" w:type="dxa"/>
              <w:right w:w="90" w:type="dxa"/>
            </w:tcMar>
            <w:vAlign w:val="center"/>
          </w:tcPr>
          <w:p w14:paraId="6338017F" w14:textId="77777777" w:rsidR="007544FF" w:rsidRDefault="00000000">
            <w:pPr>
              <w:pStyle w:val="TableText"/>
            </w:pPr>
            <w:r>
              <w:t>Сопоставлены результат и обязательства</w:t>
            </w:r>
          </w:p>
        </w:tc>
        <w:tc>
          <w:tcPr>
            <w:tcW w:w="3855" w:type="dxa"/>
            <w:shd w:val="clear" w:color="auto" w:fill="EEF4F5"/>
            <w:tcMar>
              <w:top w:w="90" w:type="dxa"/>
              <w:left w:w="90" w:type="dxa"/>
              <w:bottom w:w="90" w:type="dxa"/>
              <w:right w:w="90" w:type="dxa"/>
            </w:tcMar>
            <w:vAlign w:val="center"/>
          </w:tcPr>
          <w:p w14:paraId="769E6051" w14:textId="77777777" w:rsidR="007544FF" w:rsidRPr="006B4C7C" w:rsidRDefault="00000000">
            <w:pPr>
              <w:pStyle w:val="TableText"/>
              <w:rPr>
                <w:lang w:val="ru-RU"/>
              </w:rPr>
            </w:pPr>
            <w:r w:rsidRPr="006B4C7C">
              <w:rPr>
                <w:lang w:val="ru-RU"/>
              </w:rPr>
              <w:t>Принять работу и извлечь урок</w:t>
            </w:r>
          </w:p>
        </w:tc>
      </w:tr>
    </w:tbl>
    <w:p w14:paraId="5B7EA295" w14:textId="77777777" w:rsidR="007544FF" w:rsidRDefault="007544FF">
      <w:pPr>
        <w:spacing w:after="40" w:line="240" w:lineRule="auto"/>
      </w:pPr>
    </w:p>
    <w:p w14:paraId="24301096" w14:textId="77777777" w:rsidR="007544FF" w:rsidRDefault="00000000">
      <w:r>
        <w:t>Контроль может быть встроен в процесс, выполняться руководителем или включать независимую проверку. Нужная степень независимости зависит от риска и возможности конфликта интересов. Для учебной задачи достаточно назвать, кто проверяет и почему выбран такой порядок.</w:t>
      </w:r>
    </w:p>
    <w:p w14:paraId="62F917E4" w14:textId="77777777" w:rsidR="007544FF" w:rsidRDefault="00000000">
      <w:r>
        <w:rPr>
          <w:b/>
        </w:rPr>
        <w:t>Управление по отклонениям</w:t>
      </w:r>
      <w:r>
        <w:t xml:space="preserve"> означает внимание к существенным расхождениям, а не постоянное вмешательство в каждую деталь. При этом допустимый диапазон должен учитывать качество данных и последствия ошибки. Малое отклонение по безопасности может быть важнее большого изменения декоративного показателя.</w:t>
      </w:r>
    </w:p>
    <w:p w14:paraId="09167806" w14:textId="77777777" w:rsidR="007544FF" w:rsidRDefault="00000000">
      <w:r>
        <w:t>Контроль становится формальным, когда сотрудники создают отчет ради отчета, а сведения не меняют решения. Проверка полезности проста: какое действие последует при хорошем, плохом и неизвестном результате? Если ответ одинаков, показатель или процедура могут быть избыточными.</w:t>
      </w:r>
    </w:p>
    <w:p w14:paraId="3E072AC3" w14:textId="77777777" w:rsidR="007544FF" w:rsidRDefault="00000000">
      <w:r>
        <w:t>Источник [1] рассматривает различие ориентации на жесткий контроль и вовлечения в планирование и оценку. В курсе предлагается сочетать ясные критерии с возможностью объяснить условия, сообщить о проблеме и предложить улучшение. Участие не отменяет проверку, а делает ее содержательнее.</w:t>
      </w:r>
    </w:p>
    <w:p w14:paraId="3400579A" w14:textId="77777777" w:rsidR="007544FF" w:rsidRDefault="00000000">
      <w:pPr>
        <w:pStyle w:val="1"/>
        <w:pageBreakBefore/>
      </w:pPr>
      <w:r>
        <w:lastRenderedPageBreak/>
        <w:t>2. Система показателей и паспорт измерения</w:t>
      </w:r>
    </w:p>
    <w:p w14:paraId="0C2D83D8" w14:textId="77777777" w:rsidR="007544FF" w:rsidRDefault="00000000">
      <w:r>
        <w:t>Ключевой показатель выбирают потому, что он связан с целью и решением, а не потому, что его легко посчитать. Для сервиса это могут быть своевременное выполнение, качество с первого раза, затраты на сопоставимый заказ и доступность необходимого ресурса.</w:t>
      </w:r>
    </w:p>
    <w:p w14:paraId="4927A13A" w14:textId="77777777" w:rsidR="007544FF" w:rsidRDefault="00000000">
      <w:r>
        <w:t>Показатели результата описывают достигнутое, ранние сигналы — условия, способные повлиять на него. Доля заказов без подтвержденной детали может предупреждать о риске задержки, но ее связь с итогом еще нужно проверить. Нельзя называть любой ранний показатель доказанной причиной.</w:t>
      </w:r>
    </w:p>
    <w:tbl>
      <w:tblPr>
        <w:tblW w:w="0" w:type="auto"/>
        <w:jc w:val="center"/>
        <w:tblLayout w:type="fixed"/>
        <w:tblLook w:val="04A0" w:firstRow="1" w:lastRow="0" w:firstColumn="1" w:lastColumn="0" w:noHBand="0" w:noVBand="1"/>
      </w:tblPr>
      <w:tblGrid>
        <w:gridCol w:w="3005"/>
        <w:gridCol w:w="6633"/>
      </w:tblGrid>
      <w:tr w:rsidR="007544FF" w14:paraId="03B25372" w14:textId="77777777">
        <w:trPr>
          <w:cantSplit/>
          <w:tblHeader/>
          <w:jc w:val="center"/>
        </w:trPr>
        <w:tc>
          <w:tcPr>
            <w:tcW w:w="3005" w:type="dxa"/>
            <w:shd w:val="clear" w:color="auto" w:fill="213C4B"/>
            <w:tcMar>
              <w:top w:w="90" w:type="dxa"/>
              <w:left w:w="90" w:type="dxa"/>
              <w:bottom w:w="90" w:type="dxa"/>
              <w:right w:w="90" w:type="dxa"/>
            </w:tcMar>
            <w:vAlign w:val="center"/>
          </w:tcPr>
          <w:p w14:paraId="10610AE9" w14:textId="77777777" w:rsidR="007544FF" w:rsidRDefault="00000000">
            <w:pPr>
              <w:pStyle w:val="TableText"/>
            </w:pPr>
            <w:r>
              <w:rPr>
                <w:b/>
                <w:color w:val="FFFFFF"/>
              </w:rPr>
              <w:t>Поле паспорта</w:t>
            </w:r>
          </w:p>
        </w:tc>
        <w:tc>
          <w:tcPr>
            <w:tcW w:w="6633" w:type="dxa"/>
            <w:shd w:val="clear" w:color="auto" w:fill="213C4B"/>
            <w:tcMar>
              <w:top w:w="90" w:type="dxa"/>
              <w:left w:w="90" w:type="dxa"/>
              <w:bottom w:w="90" w:type="dxa"/>
              <w:right w:w="90" w:type="dxa"/>
            </w:tcMar>
            <w:vAlign w:val="center"/>
          </w:tcPr>
          <w:p w14:paraId="75EC4224" w14:textId="77777777" w:rsidR="007544FF" w:rsidRDefault="00000000">
            <w:pPr>
              <w:pStyle w:val="TableText"/>
            </w:pPr>
            <w:r>
              <w:rPr>
                <w:b/>
                <w:color w:val="FFFFFF"/>
              </w:rPr>
              <w:t>Пример</w:t>
            </w:r>
          </w:p>
        </w:tc>
      </w:tr>
      <w:tr w:rsidR="007544FF" w14:paraId="109E41DD" w14:textId="77777777">
        <w:trPr>
          <w:cantSplit/>
          <w:jc w:val="center"/>
        </w:trPr>
        <w:tc>
          <w:tcPr>
            <w:tcW w:w="3005" w:type="dxa"/>
            <w:shd w:val="clear" w:color="auto" w:fill="EEF4F5"/>
            <w:tcMar>
              <w:top w:w="90" w:type="dxa"/>
              <w:left w:w="90" w:type="dxa"/>
              <w:bottom w:w="90" w:type="dxa"/>
              <w:right w:w="90" w:type="dxa"/>
            </w:tcMar>
            <w:vAlign w:val="center"/>
          </w:tcPr>
          <w:p w14:paraId="6B37F356" w14:textId="77777777" w:rsidR="007544FF" w:rsidRDefault="00000000">
            <w:pPr>
              <w:pStyle w:val="TableText"/>
            </w:pPr>
            <w:r>
              <w:t>Название</w:t>
            </w:r>
          </w:p>
        </w:tc>
        <w:tc>
          <w:tcPr>
            <w:tcW w:w="6633" w:type="dxa"/>
            <w:shd w:val="clear" w:color="auto" w:fill="EEF4F5"/>
            <w:tcMar>
              <w:top w:w="90" w:type="dxa"/>
              <w:left w:w="90" w:type="dxa"/>
              <w:bottom w:w="90" w:type="dxa"/>
              <w:right w:w="90" w:type="dxa"/>
            </w:tcMar>
            <w:vAlign w:val="center"/>
          </w:tcPr>
          <w:p w14:paraId="5C7F098D" w14:textId="77777777" w:rsidR="007544FF" w:rsidRPr="006B4C7C" w:rsidRDefault="00000000">
            <w:pPr>
              <w:pStyle w:val="TableText"/>
              <w:rPr>
                <w:lang w:val="ru-RU"/>
              </w:rPr>
            </w:pPr>
            <w:r w:rsidRPr="006B4C7C">
              <w:rPr>
                <w:lang w:val="ru-RU"/>
              </w:rPr>
              <w:t>Доля заказов, выданных в согласованный срок</w:t>
            </w:r>
          </w:p>
        </w:tc>
      </w:tr>
      <w:tr w:rsidR="007544FF" w14:paraId="27A880C8" w14:textId="77777777">
        <w:trPr>
          <w:cantSplit/>
          <w:jc w:val="center"/>
        </w:trPr>
        <w:tc>
          <w:tcPr>
            <w:tcW w:w="3005" w:type="dxa"/>
            <w:tcMar>
              <w:top w:w="90" w:type="dxa"/>
              <w:left w:w="90" w:type="dxa"/>
              <w:bottom w:w="90" w:type="dxa"/>
              <w:right w:w="90" w:type="dxa"/>
            </w:tcMar>
            <w:vAlign w:val="center"/>
          </w:tcPr>
          <w:p w14:paraId="22517462" w14:textId="77777777" w:rsidR="007544FF" w:rsidRDefault="00000000">
            <w:pPr>
              <w:pStyle w:val="TableText"/>
            </w:pPr>
            <w:r>
              <w:t>Числитель</w:t>
            </w:r>
          </w:p>
        </w:tc>
        <w:tc>
          <w:tcPr>
            <w:tcW w:w="6633" w:type="dxa"/>
            <w:tcMar>
              <w:top w:w="90" w:type="dxa"/>
              <w:left w:w="90" w:type="dxa"/>
              <w:bottom w:w="90" w:type="dxa"/>
              <w:right w:w="90" w:type="dxa"/>
            </w:tcMar>
            <w:vAlign w:val="center"/>
          </w:tcPr>
          <w:p w14:paraId="29EA96D0" w14:textId="77777777" w:rsidR="007544FF" w:rsidRPr="006B4C7C" w:rsidRDefault="00000000">
            <w:pPr>
              <w:pStyle w:val="TableText"/>
              <w:rPr>
                <w:lang w:val="ru-RU"/>
              </w:rPr>
            </w:pPr>
            <w:r w:rsidRPr="006B4C7C">
              <w:rPr>
                <w:lang w:val="ru-RU"/>
              </w:rPr>
              <w:t>Заказы с выдачей не позднее подтвержденной даты</w:t>
            </w:r>
          </w:p>
        </w:tc>
      </w:tr>
      <w:tr w:rsidR="007544FF" w14:paraId="71964D83" w14:textId="77777777">
        <w:trPr>
          <w:cantSplit/>
          <w:jc w:val="center"/>
        </w:trPr>
        <w:tc>
          <w:tcPr>
            <w:tcW w:w="3005" w:type="dxa"/>
            <w:shd w:val="clear" w:color="auto" w:fill="EEF4F5"/>
            <w:tcMar>
              <w:top w:w="90" w:type="dxa"/>
              <w:left w:w="90" w:type="dxa"/>
              <w:bottom w:w="90" w:type="dxa"/>
              <w:right w:w="90" w:type="dxa"/>
            </w:tcMar>
            <w:vAlign w:val="center"/>
          </w:tcPr>
          <w:p w14:paraId="06613C9F" w14:textId="77777777" w:rsidR="007544FF" w:rsidRDefault="00000000">
            <w:pPr>
              <w:pStyle w:val="TableText"/>
            </w:pPr>
            <w:r>
              <w:t>Знаменатель</w:t>
            </w:r>
          </w:p>
        </w:tc>
        <w:tc>
          <w:tcPr>
            <w:tcW w:w="6633" w:type="dxa"/>
            <w:shd w:val="clear" w:color="auto" w:fill="EEF4F5"/>
            <w:tcMar>
              <w:top w:w="90" w:type="dxa"/>
              <w:left w:w="90" w:type="dxa"/>
              <w:bottom w:w="90" w:type="dxa"/>
              <w:right w:w="90" w:type="dxa"/>
            </w:tcMar>
            <w:vAlign w:val="center"/>
          </w:tcPr>
          <w:p w14:paraId="5B5F4992" w14:textId="77777777" w:rsidR="007544FF" w:rsidRPr="006B4C7C" w:rsidRDefault="00000000">
            <w:pPr>
              <w:pStyle w:val="TableText"/>
              <w:rPr>
                <w:lang w:val="ru-RU"/>
              </w:rPr>
            </w:pPr>
            <w:r w:rsidRPr="006B4C7C">
              <w:rPr>
                <w:lang w:val="ru-RU"/>
              </w:rPr>
              <w:t>Все сопоставимые заказы, срок которых наступил в периоде</w:t>
            </w:r>
          </w:p>
        </w:tc>
      </w:tr>
      <w:tr w:rsidR="007544FF" w14:paraId="7AB847E5" w14:textId="77777777">
        <w:trPr>
          <w:cantSplit/>
          <w:jc w:val="center"/>
        </w:trPr>
        <w:tc>
          <w:tcPr>
            <w:tcW w:w="3005" w:type="dxa"/>
            <w:tcMar>
              <w:top w:w="90" w:type="dxa"/>
              <w:left w:w="90" w:type="dxa"/>
              <w:bottom w:w="90" w:type="dxa"/>
              <w:right w:w="90" w:type="dxa"/>
            </w:tcMar>
            <w:vAlign w:val="center"/>
          </w:tcPr>
          <w:p w14:paraId="2E2894E0" w14:textId="77777777" w:rsidR="007544FF" w:rsidRDefault="00000000">
            <w:pPr>
              <w:pStyle w:val="TableText"/>
            </w:pPr>
            <w:r>
              <w:t>Источник</w:t>
            </w:r>
          </w:p>
        </w:tc>
        <w:tc>
          <w:tcPr>
            <w:tcW w:w="6633" w:type="dxa"/>
            <w:tcMar>
              <w:top w:w="90" w:type="dxa"/>
              <w:left w:w="90" w:type="dxa"/>
              <w:bottom w:w="90" w:type="dxa"/>
              <w:right w:w="90" w:type="dxa"/>
            </w:tcMar>
            <w:vAlign w:val="center"/>
          </w:tcPr>
          <w:p w14:paraId="65E419A2" w14:textId="77777777" w:rsidR="007544FF" w:rsidRPr="006B4C7C" w:rsidRDefault="00000000">
            <w:pPr>
              <w:pStyle w:val="TableText"/>
              <w:rPr>
                <w:lang w:val="ru-RU"/>
              </w:rPr>
            </w:pPr>
            <w:r w:rsidRPr="006B4C7C">
              <w:rPr>
                <w:lang w:val="ru-RU"/>
              </w:rPr>
              <w:t>Реестр согласований и фактической выдачи</w:t>
            </w:r>
          </w:p>
        </w:tc>
      </w:tr>
      <w:tr w:rsidR="007544FF" w14:paraId="540E9133" w14:textId="77777777">
        <w:trPr>
          <w:cantSplit/>
          <w:jc w:val="center"/>
        </w:trPr>
        <w:tc>
          <w:tcPr>
            <w:tcW w:w="3005" w:type="dxa"/>
            <w:shd w:val="clear" w:color="auto" w:fill="EEF4F5"/>
            <w:tcMar>
              <w:top w:w="90" w:type="dxa"/>
              <w:left w:w="90" w:type="dxa"/>
              <w:bottom w:w="90" w:type="dxa"/>
              <w:right w:w="90" w:type="dxa"/>
            </w:tcMar>
            <w:vAlign w:val="center"/>
          </w:tcPr>
          <w:p w14:paraId="0AAB198D" w14:textId="77777777" w:rsidR="007544FF" w:rsidRDefault="00000000">
            <w:pPr>
              <w:pStyle w:val="TableText"/>
            </w:pPr>
            <w:r>
              <w:t>Исключения</w:t>
            </w:r>
          </w:p>
        </w:tc>
        <w:tc>
          <w:tcPr>
            <w:tcW w:w="6633" w:type="dxa"/>
            <w:shd w:val="clear" w:color="auto" w:fill="EEF4F5"/>
            <w:tcMar>
              <w:top w:w="90" w:type="dxa"/>
              <w:left w:w="90" w:type="dxa"/>
              <w:bottom w:w="90" w:type="dxa"/>
              <w:right w:w="90" w:type="dxa"/>
            </w:tcMar>
            <w:vAlign w:val="center"/>
          </w:tcPr>
          <w:p w14:paraId="60FFE55A" w14:textId="77777777" w:rsidR="007544FF" w:rsidRPr="006B4C7C" w:rsidRDefault="00000000">
            <w:pPr>
              <w:pStyle w:val="TableText"/>
              <w:rPr>
                <w:lang w:val="ru-RU"/>
              </w:rPr>
            </w:pPr>
            <w:r w:rsidRPr="006B4C7C">
              <w:rPr>
                <w:lang w:val="ru-RU"/>
              </w:rPr>
              <w:t>Заранее описанные дубли и тестовые записи</w:t>
            </w:r>
          </w:p>
        </w:tc>
      </w:tr>
      <w:tr w:rsidR="007544FF" w14:paraId="1FB8536F" w14:textId="77777777">
        <w:trPr>
          <w:cantSplit/>
          <w:jc w:val="center"/>
        </w:trPr>
        <w:tc>
          <w:tcPr>
            <w:tcW w:w="3005" w:type="dxa"/>
            <w:tcMar>
              <w:top w:w="90" w:type="dxa"/>
              <w:left w:w="90" w:type="dxa"/>
              <w:bottom w:w="90" w:type="dxa"/>
              <w:right w:w="90" w:type="dxa"/>
            </w:tcMar>
            <w:vAlign w:val="center"/>
          </w:tcPr>
          <w:p w14:paraId="4DE533C2" w14:textId="77777777" w:rsidR="007544FF" w:rsidRDefault="00000000">
            <w:pPr>
              <w:pStyle w:val="TableText"/>
            </w:pPr>
            <w:r>
              <w:t>Ограничение</w:t>
            </w:r>
          </w:p>
        </w:tc>
        <w:tc>
          <w:tcPr>
            <w:tcW w:w="6633" w:type="dxa"/>
            <w:tcMar>
              <w:top w:w="90" w:type="dxa"/>
              <w:left w:w="90" w:type="dxa"/>
              <w:bottom w:w="90" w:type="dxa"/>
              <w:right w:w="90" w:type="dxa"/>
            </w:tcMar>
            <w:vAlign w:val="center"/>
          </w:tcPr>
          <w:p w14:paraId="6CFF7855" w14:textId="77777777" w:rsidR="007544FF" w:rsidRPr="006B4C7C" w:rsidRDefault="00000000">
            <w:pPr>
              <w:pStyle w:val="TableText"/>
              <w:rPr>
                <w:lang w:val="ru-RU"/>
              </w:rPr>
            </w:pPr>
            <w:r w:rsidRPr="006B4C7C">
              <w:rPr>
                <w:lang w:val="ru-RU"/>
              </w:rPr>
              <w:t>Перенос обещанной даты может искусственно улучшать результат</w:t>
            </w:r>
          </w:p>
        </w:tc>
      </w:tr>
    </w:tbl>
    <w:p w14:paraId="7D659B38" w14:textId="77777777" w:rsidR="007544FF" w:rsidRDefault="007544FF">
      <w:pPr>
        <w:spacing w:after="40" w:line="240" w:lineRule="auto"/>
      </w:pPr>
    </w:p>
    <w:p w14:paraId="3E00A1A3" w14:textId="77777777" w:rsidR="007544FF" w:rsidRDefault="00000000">
      <w:r>
        <w:t>Последний пункт показывает необходимость защитного показателя. Если сотрудники бесконечно сдвигают срок перед выдачей, доля своевременности растет без улучшения сервиса. Поэтому исходное обещание, согласованные изменения и фактическое ожидание рассматривают раздельно.</w:t>
      </w:r>
    </w:p>
    <w:p w14:paraId="3945D271" w14:textId="77777777" w:rsidR="007544FF" w:rsidRDefault="00000000">
      <w:r>
        <w:t>Не следует усреднять все критерии в единый балл без объяснения. Низкие затраты не компенсируют существенный дефект. Для части условий используют обязательный порог и решение о приостановке, а не обмен на благоприятные значения других показателей.</w:t>
      </w:r>
    </w:p>
    <w:p w14:paraId="46A705ED" w14:textId="77777777" w:rsidR="007544FF" w:rsidRDefault="00000000">
      <w:r>
        <w:t>Качество данных проверяется до интерпретации: единицы, период, полнота, дубликаты, изменение правил и состав работ. Средний срок может скрывать небольшую группу очень долгих заказов; полезно дополнительно видеть распределение и число существенных исключений.</w:t>
      </w:r>
    </w:p>
    <w:p w14:paraId="109B3CE0" w14:textId="77777777" w:rsidR="007544FF" w:rsidRDefault="00000000">
      <w:r>
        <w:t>Система измерения не должна создавать чрезмерную нагрузку. Начните с нескольких показателей, для каждого назовите владельца и решение. Если показатель не используется, пересмотрите необходимость его сбора вместо бесконечного расширения панели.</w:t>
      </w:r>
    </w:p>
    <w:p w14:paraId="2E7B26CE" w14:textId="77777777" w:rsidR="007544FF" w:rsidRDefault="00000000">
      <w:pPr>
        <w:pStyle w:val="1"/>
        <w:pageBreakBefore/>
      </w:pPr>
      <w:r>
        <w:lastRenderedPageBreak/>
        <w:t>3. Базовая экономика и точка безубыточности</w:t>
      </w:r>
    </w:p>
    <w:p w14:paraId="458C86FA" w14:textId="77777777" w:rsidR="007544FF" w:rsidRDefault="00000000">
      <w:r>
        <w:t>Выручка — стоимость реализованного объема, а не обязательно полученные в тот же момент деньги. Переменные затраты в учебной модели изменяются с количеством, постоянные остаются неизменными в выбранном диапазоне. Маржинальный вклад равен выручке за вычетом переменных затрат.</w:t>
      </w:r>
    </w:p>
    <w:p w14:paraId="3B22EC01" w14:textId="77777777" w:rsidR="007544FF" w:rsidRDefault="00000000">
      <w:r>
        <w:t>Для одного однородного предложения точка безубыточности в единицах рассчитывается как Q = F / (P - v), где F — постоянные затраты периода, P — цена единицы, v — переменные затраты на единицу. Предполагаются положительный вклад, неизменные цена и удельные затраты в рассматриваемом диапазоне [2].</w:t>
      </w:r>
    </w:p>
    <w:p w14:paraId="45C4AB45" w14:textId="77777777" w:rsidR="007544FF" w:rsidRDefault="00000000">
      <w:r>
        <w:t>Пусть цена услуги — 10 000 тг, переменные затраты — 6 000 тг, постоянные — 300 000 тг в месяц. Вклад с заказа равен 4 000 тг; безубыточность — 300 000 / 4 000 = 75 заказов.</w:t>
      </w:r>
    </w:p>
    <w:tbl>
      <w:tblPr>
        <w:tblW w:w="0" w:type="auto"/>
        <w:jc w:val="center"/>
        <w:tblLayout w:type="fixed"/>
        <w:tblLook w:val="04A0" w:firstRow="1" w:lastRow="0" w:firstColumn="1" w:lastColumn="0" w:noHBand="0" w:noVBand="1"/>
      </w:tblPr>
      <w:tblGrid>
        <w:gridCol w:w="2438"/>
        <w:gridCol w:w="2381"/>
        <w:gridCol w:w="2438"/>
        <w:gridCol w:w="2381"/>
      </w:tblGrid>
      <w:tr w:rsidR="007544FF" w14:paraId="23CB1008" w14:textId="77777777">
        <w:trPr>
          <w:cantSplit/>
          <w:tblHeader/>
          <w:jc w:val="center"/>
        </w:trPr>
        <w:tc>
          <w:tcPr>
            <w:tcW w:w="2438" w:type="dxa"/>
            <w:shd w:val="clear" w:color="auto" w:fill="213C4B"/>
            <w:tcMar>
              <w:top w:w="90" w:type="dxa"/>
              <w:left w:w="90" w:type="dxa"/>
              <w:bottom w:w="90" w:type="dxa"/>
              <w:right w:w="90" w:type="dxa"/>
            </w:tcMar>
            <w:vAlign w:val="center"/>
          </w:tcPr>
          <w:p w14:paraId="24EB45CB" w14:textId="77777777" w:rsidR="007544FF" w:rsidRDefault="00000000">
            <w:pPr>
              <w:pStyle w:val="TableText"/>
            </w:pPr>
            <w:r>
              <w:rPr>
                <w:b/>
                <w:color w:val="FFFFFF"/>
              </w:rPr>
              <w:t>Объем</w:t>
            </w:r>
          </w:p>
        </w:tc>
        <w:tc>
          <w:tcPr>
            <w:tcW w:w="2381" w:type="dxa"/>
            <w:shd w:val="clear" w:color="auto" w:fill="213C4B"/>
            <w:tcMar>
              <w:top w:w="90" w:type="dxa"/>
              <w:left w:w="90" w:type="dxa"/>
              <w:bottom w:w="90" w:type="dxa"/>
              <w:right w:w="90" w:type="dxa"/>
            </w:tcMar>
            <w:vAlign w:val="center"/>
          </w:tcPr>
          <w:p w14:paraId="70E13A69" w14:textId="77777777" w:rsidR="007544FF" w:rsidRDefault="00000000">
            <w:pPr>
              <w:pStyle w:val="TableText"/>
            </w:pPr>
            <w:r>
              <w:rPr>
                <w:b/>
                <w:color w:val="FFFFFF"/>
              </w:rPr>
              <w:t>Выручка</w:t>
            </w:r>
          </w:p>
        </w:tc>
        <w:tc>
          <w:tcPr>
            <w:tcW w:w="2438" w:type="dxa"/>
            <w:shd w:val="clear" w:color="auto" w:fill="213C4B"/>
            <w:tcMar>
              <w:top w:w="90" w:type="dxa"/>
              <w:left w:w="90" w:type="dxa"/>
              <w:bottom w:w="90" w:type="dxa"/>
              <w:right w:w="90" w:type="dxa"/>
            </w:tcMar>
            <w:vAlign w:val="center"/>
          </w:tcPr>
          <w:p w14:paraId="0B8ABACB" w14:textId="77777777" w:rsidR="007544FF" w:rsidRDefault="00000000">
            <w:pPr>
              <w:pStyle w:val="TableText"/>
            </w:pPr>
            <w:r>
              <w:rPr>
                <w:b/>
                <w:color w:val="FFFFFF"/>
              </w:rPr>
              <w:t>Переменные затраты</w:t>
            </w:r>
          </w:p>
        </w:tc>
        <w:tc>
          <w:tcPr>
            <w:tcW w:w="2381" w:type="dxa"/>
            <w:shd w:val="clear" w:color="auto" w:fill="213C4B"/>
            <w:tcMar>
              <w:top w:w="90" w:type="dxa"/>
              <w:left w:w="90" w:type="dxa"/>
              <w:bottom w:w="90" w:type="dxa"/>
              <w:right w:w="90" w:type="dxa"/>
            </w:tcMar>
            <w:vAlign w:val="center"/>
          </w:tcPr>
          <w:p w14:paraId="642CBFE8" w14:textId="77777777" w:rsidR="007544FF" w:rsidRDefault="00000000">
            <w:pPr>
              <w:pStyle w:val="TableText"/>
            </w:pPr>
            <w:r>
              <w:rPr>
                <w:b/>
                <w:color w:val="FFFFFF"/>
              </w:rPr>
              <w:t>Результат после постоянных затрат</w:t>
            </w:r>
          </w:p>
        </w:tc>
      </w:tr>
      <w:tr w:rsidR="007544FF" w14:paraId="7EB1A4F4" w14:textId="77777777">
        <w:trPr>
          <w:cantSplit/>
          <w:jc w:val="center"/>
        </w:trPr>
        <w:tc>
          <w:tcPr>
            <w:tcW w:w="2438" w:type="dxa"/>
            <w:shd w:val="clear" w:color="auto" w:fill="EEF4F5"/>
            <w:tcMar>
              <w:top w:w="90" w:type="dxa"/>
              <w:left w:w="90" w:type="dxa"/>
              <w:bottom w:w="90" w:type="dxa"/>
              <w:right w:w="90" w:type="dxa"/>
            </w:tcMar>
            <w:vAlign w:val="center"/>
          </w:tcPr>
          <w:p w14:paraId="4032DA33" w14:textId="77777777" w:rsidR="007544FF" w:rsidRDefault="00000000">
            <w:pPr>
              <w:pStyle w:val="TableText"/>
            </w:pPr>
            <w:r>
              <w:t>60 заказов</w:t>
            </w:r>
          </w:p>
        </w:tc>
        <w:tc>
          <w:tcPr>
            <w:tcW w:w="2381" w:type="dxa"/>
            <w:shd w:val="clear" w:color="auto" w:fill="EEF4F5"/>
            <w:tcMar>
              <w:top w:w="90" w:type="dxa"/>
              <w:left w:w="90" w:type="dxa"/>
              <w:bottom w:w="90" w:type="dxa"/>
              <w:right w:w="90" w:type="dxa"/>
            </w:tcMar>
            <w:vAlign w:val="center"/>
          </w:tcPr>
          <w:p w14:paraId="79E9A174" w14:textId="77777777" w:rsidR="007544FF" w:rsidRDefault="00000000">
            <w:pPr>
              <w:pStyle w:val="TableText"/>
            </w:pPr>
            <w:r>
              <w:t>600 000 тг</w:t>
            </w:r>
          </w:p>
        </w:tc>
        <w:tc>
          <w:tcPr>
            <w:tcW w:w="2438" w:type="dxa"/>
            <w:shd w:val="clear" w:color="auto" w:fill="EEF4F5"/>
            <w:tcMar>
              <w:top w:w="90" w:type="dxa"/>
              <w:left w:w="90" w:type="dxa"/>
              <w:bottom w:w="90" w:type="dxa"/>
              <w:right w:w="90" w:type="dxa"/>
            </w:tcMar>
            <w:vAlign w:val="center"/>
          </w:tcPr>
          <w:p w14:paraId="12E3D18F" w14:textId="77777777" w:rsidR="007544FF" w:rsidRDefault="00000000">
            <w:pPr>
              <w:pStyle w:val="TableText"/>
            </w:pPr>
            <w:r>
              <w:t>360 000 тг</w:t>
            </w:r>
          </w:p>
        </w:tc>
        <w:tc>
          <w:tcPr>
            <w:tcW w:w="2381" w:type="dxa"/>
            <w:shd w:val="clear" w:color="auto" w:fill="EEF4F5"/>
            <w:tcMar>
              <w:top w:w="90" w:type="dxa"/>
              <w:left w:w="90" w:type="dxa"/>
              <w:bottom w:w="90" w:type="dxa"/>
              <w:right w:w="90" w:type="dxa"/>
            </w:tcMar>
            <w:vAlign w:val="center"/>
          </w:tcPr>
          <w:p w14:paraId="48EB1C83" w14:textId="77777777" w:rsidR="007544FF" w:rsidRDefault="00000000">
            <w:pPr>
              <w:pStyle w:val="TableText"/>
            </w:pPr>
            <w:r>
              <w:t>-60 000 тг</w:t>
            </w:r>
          </w:p>
        </w:tc>
      </w:tr>
      <w:tr w:rsidR="007544FF" w14:paraId="09B59699" w14:textId="77777777">
        <w:trPr>
          <w:cantSplit/>
          <w:jc w:val="center"/>
        </w:trPr>
        <w:tc>
          <w:tcPr>
            <w:tcW w:w="2438" w:type="dxa"/>
            <w:tcMar>
              <w:top w:w="90" w:type="dxa"/>
              <w:left w:w="90" w:type="dxa"/>
              <w:bottom w:w="90" w:type="dxa"/>
              <w:right w:w="90" w:type="dxa"/>
            </w:tcMar>
            <w:vAlign w:val="center"/>
          </w:tcPr>
          <w:p w14:paraId="00121CE8" w14:textId="77777777" w:rsidR="007544FF" w:rsidRDefault="00000000">
            <w:pPr>
              <w:pStyle w:val="TableText"/>
            </w:pPr>
            <w:r>
              <w:t>75 заказов</w:t>
            </w:r>
          </w:p>
        </w:tc>
        <w:tc>
          <w:tcPr>
            <w:tcW w:w="2381" w:type="dxa"/>
            <w:tcMar>
              <w:top w:w="90" w:type="dxa"/>
              <w:left w:w="90" w:type="dxa"/>
              <w:bottom w:w="90" w:type="dxa"/>
              <w:right w:w="90" w:type="dxa"/>
            </w:tcMar>
            <w:vAlign w:val="center"/>
          </w:tcPr>
          <w:p w14:paraId="51EB91EC" w14:textId="77777777" w:rsidR="007544FF" w:rsidRDefault="00000000">
            <w:pPr>
              <w:pStyle w:val="TableText"/>
            </w:pPr>
            <w:r>
              <w:t>750 000 тг</w:t>
            </w:r>
          </w:p>
        </w:tc>
        <w:tc>
          <w:tcPr>
            <w:tcW w:w="2438" w:type="dxa"/>
            <w:tcMar>
              <w:top w:w="90" w:type="dxa"/>
              <w:left w:w="90" w:type="dxa"/>
              <w:bottom w:w="90" w:type="dxa"/>
              <w:right w:w="90" w:type="dxa"/>
            </w:tcMar>
            <w:vAlign w:val="center"/>
          </w:tcPr>
          <w:p w14:paraId="5549F9EE" w14:textId="77777777" w:rsidR="007544FF" w:rsidRDefault="00000000">
            <w:pPr>
              <w:pStyle w:val="TableText"/>
            </w:pPr>
            <w:r>
              <w:t>450 000 тг</w:t>
            </w:r>
          </w:p>
        </w:tc>
        <w:tc>
          <w:tcPr>
            <w:tcW w:w="2381" w:type="dxa"/>
            <w:tcMar>
              <w:top w:w="90" w:type="dxa"/>
              <w:left w:w="90" w:type="dxa"/>
              <w:bottom w:w="90" w:type="dxa"/>
              <w:right w:w="90" w:type="dxa"/>
            </w:tcMar>
            <w:vAlign w:val="center"/>
          </w:tcPr>
          <w:p w14:paraId="1205F5DB" w14:textId="77777777" w:rsidR="007544FF" w:rsidRDefault="00000000">
            <w:pPr>
              <w:pStyle w:val="TableText"/>
            </w:pPr>
            <w:r>
              <w:t>0 тг</w:t>
            </w:r>
          </w:p>
        </w:tc>
      </w:tr>
      <w:tr w:rsidR="007544FF" w14:paraId="0C3D69AA" w14:textId="77777777">
        <w:trPr>
          <w:cantSplit/>
          <w:jc w:val="center"/>
        </w:trPr>
        <w:tc>
          <w:tcPr>
            <w:tcW w:w="2438" w:type="dxa"/>
            <w:shd w:val="clear" w:color="auto" w:fill="EEF4F5"/>
            <w:tcMar>
              <w:top w:w="90" w:type="dxa"/>
              <w:left w:w="90" w:type="dxa"/>
              <w:bottom w:w="90" w:type="dxa"/>
              <w:right w:w="90" w:type="dxa"/>
            </w:tcMar>
            <w:vAlign w:val="center"/>
          </w:tcPr>
          <w:p w14:paraId="165F1C5D" w14:textId="77777777" w:rsidR="007544FF" w:rsidRDefault="00000000">
            <w:pPr>
              <w:pStyle w:val="TableText"/>
            </w:pPr>
            <w:r>
              <w:t>90 заказов</w:t>
            </w:r>
          </w:p>
        </w:tc>
        <w:tc>
          <w:tcPr>
            <w:tcW w:w="2381" w:type="dxa"/>
            <w:shd w:val="clear" w:color="auto" w:fill="EEF4F5"/>
            <w:tcMar>
              <w:top w:w="90" w:type="dxa"/>
              <w:left w:w="90" w:type="dxa"/>
              <w:bottom w:w="90" w:type="dxa"/>
              <w:right w:w="90" w:type="dxa"/>
            </w:tcMar>
            <w:vAlign w:val="center"/>
          </w:tcPr>
          <w:p w14:paraId="59CFD8C7" w14:textId="77777777" w:rsidR="007544FF" w:rsidRDefault="00000000">
            <w:pPr>
              <w:pStyle w:val="TableText"/>
            </w:pPr>
            <w:r>
              <w:t>900 000 тг</w:t>
            </w:r>
          </w:p>
        </w:tc>
        <w:tc>
          <w:tcPr>
            <w:tcW w:w="2438" w:type="dxa"/>
            <w:shd w:val="clear" w:color="auto" w:fill="EEF4F5"/>
            <w:tcMar>
              <w:top w:w="90" w:type="dxa"/>
              <w:left w:w="90" w:type="dxa"/>
              <w:bottom w:w="90" w:type="dxa"/>
              <w:right w:w="90" w:type="dxa"/>
            </w:tcMar>
            <w:vAlign w:val="center"/>
          </w:tcPr>
          <w:p w14:paraId="15BC1E97" w14:textId="77777777" w:rsidR="007544FF" w:rsidRDefault="00000000">
            <w:pPr>
              <w:pStyle w:val="TableText"/>
            </w:pPr>
            <w:r>
              <w:t>540 000 тг</w:t>
            </w:r>
          </w:p>
        </w:tc>
        <w:tc>
          <w:tcPr>
            <w:tcW w:w="2381" w:type="dxa"/>
            <w:shd w:val="clear" w:color="auto" w:fill="EEF4F5"/>
            <w:tcMar>
              <w:top w:w="90" w:type="dxa"/>
              <w:left w:w="90" w:type="dxa"/>
              <w:bottom w:w="90" w:type="dxa"/>
              <w:right w:w="90" w:type="dxa"/>
            </w:tcMar>
            <w:vAlign w:val="center"/>
          </w:tcPr>
          <w:p w14:paraId="6CEE4797" w14:textId="77777777" w:rsidR="007544FF" w:rsidRDefault="00000000">
            <w:pPr>
              <w:pStyle w:val="TableText"/>
            </w:pPr>
            <w:r>
              <w:t>60 000 тг</w:t>
            </w:r>
          </w:p>
        </w:tc>
      </w:tr>
    </w:tbl>
    <w:p w14:paraId="2B0B5156" w14:textId="77777777" w:rsidR="007544FF" w:rsidRDefault="007544FF">
      <w:pPr>
        <w:spacing w:after="40" w:line="240" w:lineRule="auto"/>
      </w:pPr>
    </w:p>
    <w:p w14:paraId="6C3C1B05" w14:textId="77777777" w:rsidR="007544FF" w:rsidRDefault="00000000">
      <w:r>
        <w:t>Это результат модели до неучтенных налогов, финансирования и других расходов, а не гарантированная чистая прибыль. При скидке, росте стоимости материалов или необходимости дополнительного помещения расчет изменится. Если ассортимент разный, нужна явная структура продаж.</w:t>
      </w:r>
    </w:p>
    <w:p w14:paraId="58E5734B" w14:textId="77777777" w:rsidR="007544FF" w:rsidRDefault="00000000">
      <w:r>
        <w:t>Безубыточность не показывает наличие спроса. Возможность оказать 90 услуг и желание клиентов купить их — разные вопросы. Она также не решает задачу денежных разрывов: материалы могут быть оплачены раньше, чем поступит выручка.</w:t>
      </w:r>
    </w:p>
    <w:p w14:paraId="7584F469" w14:textId="77777777" w:rsidR="007544FF" w:rsidRDefault="00000000">
      <w:r>
        <w:t>Для менеджера важен смысл расчета: сколько вклада требуется для покрытия выбранных затрат и какие допущения на это влияют. Красивый положительный итог не заменяет проверки объема, качества исполнения и сроков денежных поступлений.</w:t>
      </w:r>
    </w:p>
    <w:p w14:paraId="08A15D21" w14:textId="77777777" w:rsidR="007544FF" w:rsidRDefault="00000000">
      <w:pPr>
        <w:pStyle w:val="1"/>
        <w:pageBreakBefore/>
      </w:pPr>
      <w:r>
        <w:lastRenderedPageBreak/>
        <w:t>4. Бюджет, факт и влияние изменения объема</w:t>
      </w:r>
    </w:p>
    <w:p w14:paraId="317E6D91" w14:textId="77777777" w:rsidR="007544FF" w:rsidRDefault="00000000">
      <w:r>
        <w:t>Бюджет переводит план в ресурсные величины. Для контроля нужно отличать первоначальный бюджет при плановом объеме от гибкого бюджета, пересчитанного на фактический объем при тех же нормативных условиях. Такой пересчет помогает не смешивать изменение количества и отклонение затрат [3].</w:t>
      </w:r>
    </w:p>
    <w:p w14:paraId="5A3E1E74" w14:textId="77777777" w:rsidR="007544FF" w:rsidRDefault="00000000">
      <w:r>
        <w:t>Продолжим отдельный учебный расчет: постоянные затраты 300 000 тг, переменные — 6 000 тг на заказ. Первоначально запланировано 80 заказов, фактически выполнено 90. Фактические общие затраты составили 870 000 тг.</w:t>
      </w:r>
    </w:p>
    <w:tbl>
      <w:tblPr>
        <w:tblW w:w="0" w:type="auto"/>
        <w:jc w:val="center"/>
        <w:tblLayout w:type="fixed"/>
        <w:tblLook w:val="04A0" w:firstRow="1" w:lastRow="0" w:firstColumn="1" w:lastColumn="0" w:noHBand="0" w:noVBand="1"/>
      </w:tblPr>
      <w:tblGrid>
        <w:gridCol w:w="2268"/>
        <w:gridCol w:w="3515"/>
        <w:gridCol w:w="3855"/>
      </w:tblGrid>
      <w:tr w:rsidR="007544FF" w14:paraId="6F9E7A4B" w14:textId="77777777">
        <w:trPr>
          <w:cantSplit/>
          <w:tblHeader/>
          <w:jc w:val="center"/>
        </w:trPr>
        <w:tc>
          <w:tcPr>
            <w:tcW w:w="2268" w:type="dxa"/>
            <w:shd w:val="clear" w:color="auto" w:fill="213C4B"/>
            <w:tcMar>
              <w:top w:w="90" w:type="dxa"/>
              <w:left w:w="90" w:type="dxa"/>
              <w:bottom w:w="90" w:type="dxa"/>
              <w:right w:w="90" w:type="dxa"/>
            </w:tcMar>
            <w:vAlign w:val="center"/>
          </w:tcPr>
          <w:p w14:paraId="1C232C9F" w14:textId="77777777" w:rsidR="007544FF" w:rsidRDefault="00000000">
            <w:pPr>
              <w:pStyle w:val="TableText"/>
            </w:pPr>
            <w:r>
              <w:rPr>
                <w:b/>
                <w:color w:val="FFFFFF"/>
              </w:rPr>
              <w:t>Сравнение</w:t>
            </w:r>
          </w:p>
        </w:tc>
        <w:tc>
          <w:tcPr>
            <w:tcW w:w="3515" w:type="dxa"/>
            <w:shd w:val="clear" w:color="auto" w:fill="213C4B"/>
            <w:tcMar>
              <w:top w:w="90" w:type="dxa"/>
              <w:left w:w="90" w:type="dxa"/>
              <w:bottom w:w="90" w:type="dxa"/>
              <w:right w:w="90" w:type="dxa"/>
            </w:tcMar>
            <w:vAlign w:val="center"/>
          </w:tcPr>
          <w:p w14:paraId="0C73997F" w14:textId="77777777" w:rsidR="007544FF" w:rsidRDefault="00000000">
            <w:pPr>
              <w:pStyle w:val="TableText"/>
            </w:pPr>
            <w:r>
              <w:rPr>
                <w:b/>
                <w:color w:val="FFFFFF"/>
              </w:rPr>
              <w:t>Расчет</w:t>
            </w:r>
          </w:p>
        </w:tc>
        <w:tc>
          <w:tcPr>
            <w:tcW w:w="3855" w:type="dxa"/>
            <w:shd w:val="clear" w:color="auto" w:fill="213C4B"/>
            <w:tcMar>
              <w:top w:w="90" w:type="dxa"/>
              <w:left w:w="90" w:type="dxa"/>
              <w:bottom w:w="90" w:type="dxa"/>
              <w:right w:w="90" w:type="dxa"/>
            </w:tcMar>
            <w:vAlign w:val="center"/>
          </w:tcPr>
          <w:p w14:paraId="49D4466C" w14:textId="77777777" w:rsidR="007544FF" w:rsidRDefault="00000000">
            <w:pPr>
              <w:pStyle w:val="TableText"/>
            </w:pPr>
            <w:r>
              <w:rPr>
                <w:b/>
                <w:color w:val="FFFFFF"/>
              </w:rPr>
              <w:t>Сумма</w:t>
            </w:r>
          </w:p>
        </w:tc>
      </w:tr>
      <w:tr w:rsidR="007544FF" w14:paraId="41C6C0F8" w14:textId="77777777">
        <w:trPr>
          <w:cantSplit/>
          <w:jc w:val="center"/>
        </w:trPr>
        <w:tc>
          <w:tcPr>
            <w:tcW w:w="2268" w:type="dxa"/>
            <w:shd w:val="clear" w:color="auto" w:fill="EEF4F5"/>
            <w:tcMar>
              <w:top w:w="90" w:type="dxa"/>
              <w:left w:w="90" w:type="dxa"/>
              <w:bottom w:w="90" w:type="dxa"/>
              <w:right w:w="90" w:type="dxa"/>
            </w:tcMar>
            <w:vAlign w:val="center"/>
          </w:tcPr>
          <w:p w14:paraId="2DC68004" w14:textId="77777777" w:rsidR="007544FF" w:rsidRDefault="00000000">
            <w:pPr>
              <w:pStyle w:val="TableText"/>
            </w:pPr>
            <w:r>
              <w:t>Первоначальный бюджет</w:t>
            </w:r>
          </w:p>
        </w:tc>
        <w:tc>
          <w:tcPr>
            <w:tcW w:w="3515" w:type="dxa"/>
            <w:shd w:val="clear" w:color="auto" w:fill="EEF4F5"/>
            <w:tcMar>
              <w:top w:w="90" w:type="dxa"/>
              <w:left w:w="90" w:type="dxa"/>
              <w:bottom w:w="90" w:type="dxa"/>
              <w:right w:w="90" w:type="dxa"/>
            </w:tcMar>
            <w:vAlign w:val="center"/>
          </w:tcPr>
          <w:p w14:paraId="3329DB2B" w14:textId="77777777" w:rsidR="007544FF" w:rsidRDefault="00000000">
            <w:pPr>
              <w:pStyle w:val="TableText"/>
            </w:pPr>
            <w:r>
              <w:t>300 000 + 80 × 6 000</w:t>
            </w:r>
          </w:p>
        </w:tc>
        <w:tc>
          <w:tcPr>
            <w:tcW w:w="3855" w:type="dxa"/>
            <w:shd w:val="clear" w:color="auto" w:fill="EEF4F5"/>
            <w:tcMar>
              <w:top w:w="90" w:type="dxa"/>
              <w:left w:w="90" w:type="dxa"/>
              <w:bottom w:w="90" w:type="dxa"/>
              <w:right w:w="90" w:type="dxa"/>
            </w:tcMar>
            <w:vAlign w:val="center"/>
          </w:tcPr>
          <w:p w14:paraId="67C9BF8F" w14:textId="77777777" w:rsidR="007544FF" w:rsidRDefault="00000000">
            <w:pPr>
              <w:pStyle w:val="TableText"/>
            </w:pPr>
            <w:r>
              <w:t>780 000 тг</w:t>
            </w:r>
          </w:p>
        </w:tc>
      </w:tr>
      <w:tr w:rsidR="007544FF" w14:paraId="1A761457" w14:textId="77777777">
        <w:trPr>
          <w:cantSplit/>
          <w:jc w:val="center"/>
        </w:trPr>
        <w:tc>
          <w:tcPr>
            <w:tcW w:w="2268" w:type="dxa"/>
            <w:tcMar>
              <w:top w:w="90" w:type="dxa"/>
              <w:left w:w="90" w:type="dxa"/>
              <w:bottom w:w="90" w:type="dxa"/>
              <w:right w:w="90" w:type="dxa"/>
            </w:tcMar>
            <w:vAlign w:val="center"/>
          </w:tcPr>
          <w:p w14:paraId="00E5B2C7" w14:textId="77777777" w:rsidR="007544FF" w:rsidRDefault="00000000">
            <w:pPr>
              <w:pStyle w:val="TableText"/>
            </w:pPr>
            <w:r>
              <w:t>Гибкий бюджет на 90 заказов</w:t>
            </w:r>
          </w:p>
        </w:tc>
        <w:tc>
          <w:tcPr>
            <w:tcW w:w="3515" w:type="dxa"/>
            <w:tcMar>
              <w:top w:w="90" w:type="dxa"/>
              <w:left w:w="90" w:type="dxa"/>
              <w:bottom w:w="90" w:type="dxa"/>
              <w:right w:w="90" w:type="dxa"/>
            </w:tcMar>
            <w:vAlign w:val="center"/>
          </w:tcPr>
          <w:p w14:paraId="0708371E" w14:textId="77777777" w:rsidR="007544FF" w:rsidRDefault="00000000">
            <w:pPr>
              <w:pStyle w:val="TableText"/>
            </w:pPr>
            <w:r>
              <w:t>300 000 + 90 × 6 000</w:t>
            </w:r>
          </w:p>
        </w:tc>
        <w:tc>
          <w:tcPr>
            <w:tcW w:w="3855" w:type="dxa"/>
            <w:tcMar>
              <w:top w:w="90" w:type="dxa"/>
              <w:left w:w="90" w:type="dxa"/>
              <w:bottom w:w="90" w:type="dxa"/>
              <w:right w:w="90" w:type="dxa"/>
            </w:tcMar>
            <w:vAlign w:val="center"/>
          </w:tcPr>
          <w:p w14:paraId="61371D90" w14:textId="77777777" w:rsidR="007544FF" w:rsidRDefault="00000000">
            <w:pPr>
              <w:pStyle w:val="TableText"/>
            </w:pPr>
            <w:r>
              <w:t>840 000 тг</w:t>
            </w:r>
          </w:p>
        </w:tc>
      </w:tr>
      <w:tr w:rsidR="007544FF" w14:paraId="28D19CDD" w14:textId="77777777">
        <w:trPr>
          <w:cantSplit/>
          <w:jc w:val="center"/>
        </w:trPr>
        <w:tc>
          <w:tcPr>
            <w:tcW w:w="2268" w:type="dxa"/>
            <w:shd w:val="clear" w:color="auto" w:fill="EEF4F5"/>
            <w:tcMar>
              <w:top w:w="90" w:type="dxa"/>
              <w:left w:w="90" w:type="dxa"/>
              <w:bottom w:w="90" w:type="dxa"/>
              <w:right w:w="90" w:type="dxa"/>
            </w:tcMar>
            <w:vAlign w:val="center"/>
          </w:tcPr>
          <w:p w14:paraId="3EF70281" w14:textId="77777777" w:rsidR="007544FF" w:rsidRDefault="00000000">
            <w:pPr>
              <w:pStyle w:val="TableText"/>
            </w:pPr>
            <w:r>
              <w:t>Фактические затраты</w:t>
            </w:r>
          </w:p>
        </w:tc>
        <w:tc>
          <w:tcPr>
            <w:tcW w:w="3515" w:type="dxa"/>
            <w:shd w:val="clear" w:color="auto" w:fill="EEF4F5"/>
            <w:tcMar>
              <w:top w:w="90" w:type="dxa"/>
              <w:left w:w="90" w:type="dxa"/>
              <w:bottom w:w="90" w:type="dxa"/>
              <w:right w:w="90" w:type="dxa"/>
            </w:tcMar>
            <w:vAlign w:val="center"/>
          </w:tcPr>
          <w:p w14:paraId="2527F1D8" w14:textId="77777777" w:rsidR="007544FF" w:rsidRDefault="00000000">
            <w:pPr>
              <w:pStyle w:val="TableText"/>
            </w:pPr>
            <w:r>
              <w:t>По условию примера</w:t>
            </w:r>
          </w:p>
        </w:tc>
        <w:tc>
          <w:tcPr>
            <w:tcW w:w="3855" w:type="dxa"/>
            <w:shd w:val="clear" w:color="auto" w:fill="EEF4F5"/>
            <w:tcMar>
              <w:top w:w="90" w:type="dxa"/>
              <w:left w:w="90" w:type="dxa"/>
              <w:bottom w:w="90" w:type="dxa"/>
              <w:right w:w="90" w:type="dxa"/>
            </w:tcMar>
            <w:vAlign w:val="center"/>
          </w:tcPr>
          <w:p w14:paraId="0875C34A" w14:textId="77777777" w:rsidR="007544FF" w:rsidRDefault="00000000">
            <w:pPr>
              <w:pStyle w:val="TableText"/>
            </w:pPr>
            <w:r>
              <w:t>870 000 тг</w:t>
            </w:r>
          </w:p>
        </w:tc>
      </w:tr>
      <w:tr w:rsidR="007544FF" w14:paraId="373294AB" w14:textId="77777777">
        <w:trPr>
          <w:cantSplit/>
          <w:jc w:val="center"/>
        </w:trPr>
        <w:tc>
          <w:tcPr>
            <w:tcW w:w="2268" w:type="dxa"/>
            <w:tcMar>
              <w:top w:w="90" w:type="dxa"/>
              <w:left w:w="90" w:type="dxa"/>
              <w:bottom w:w="90" w:type="dxa"/>
              <w:right w:w="90" w:type="dxa"/>
            </w:tcMar>
            <w:vAlign w:val="center"/>
          </w:tcPr>
          <w:p w14:paraId="0C7B9FDB" w14:textId="77777777" w:rsidR="007544FF" w:rsidRPr="006B4C7C" w:rsidRDefault="00000000">
            <w:pPr>
              <w:pStyle w:val="TableText"/>
              <w:rPr>
                <w:lang w:val="ru-RU"/>
              </w:rPr>
            </w:pPr>
            <w:r w:rsidRPr="006B4C7C">
              <w:rPr>
                <w:lang w:val="ru-RU"/>
              </w:rPr>
              <w:t>Разница факта и гибкого бюджета</w:t>
            </w:r>
          </w:p>
        </w:tc>
        <w:tc>
          <w:tcPr>
            <w:tcW w:w="3515" w:type="dxa"/>
            <w:tcMar>
              <w:top w:w="90" w:type="dxa"/>
              <w:left w:w="90" w:type="dxa"/>
              <w:bottom w:w="90" w:type="dxa"/>
              <w:right w:w="90" w:type="dxa"/>
            </w:tcMar>
            <w:vAlign w:val="center"/>
          </w:tcPr>
          <w:p w14:paraId="7DB058AA" w14:textId="77777777" w:rsidR="007544FF" w:rsidRDefault="00000000">
            <w:pPr>
              <w:pStyle w:val="TableText"/>
            </w:pPr>
            <w:r>
              <w:t>870 000 - 840 000</w:t>
            </w:r>
          </w:p>
        </w:tc>
        <w:tc>
          <w:tcPr>
            <w:tcW w:w="3855" w:type="dxa"/>
            <w:tcMar>
              <w:top w:w="90" w:type="dxa"/>
              <w:left w:w="90" w:type="dxa"/>
              <w:bottom w:w="90" w:type="dxa"/>
              <w:right w:w="90" w:type="dxa"/>
            </w:tcMar>
            <w:vAlign w:val="center"/>
          </w:tcPr>
          <w:p w14:paraId="7146763A" w14:textId="77777777" w:rsidR="007544FF" w:rsidRDefault="00000000">
            <w:pPr>
              <w:pStyle w:val="TableText"/>
            </w:pPr>
            <w:r>
              <w:t>30 000 тг</w:t>
            </w:r>
          </w:p>
        </w:tc>
      </w:tr>
    </w:tbl>
    <w:p w14:paraId="2A7E38DE" w14:textId="77777777" w:rsidR="007544FF" w:rsidRDefault="007544FF">
      <w:pPr>
        <w:spacing w:after="40" w:line="240" w:lineRule="auto"/>
      </w:pPr>
    </w:p>
    <w:p w14:paraId="475860D5" w14:textId="77777777" w:rsidR="007544FF" w:rsidRDefault="00000000">
      <w:r>
        <w:t>Общее превышение первоначального бюджета — 90 000 тг. Из него 60 000 связано в модели с дополнительными десятью заказами, 30 000 остается отклонением относительно условий гибкого бюджета. Это разложение не устанавливает виновника и не раскрывает причину автоматически.</w:t>
      </w:r>
    </w:p>
    <w:p w14:paraId="2487B076" w14:textId="77777777" w:rsidR="007544FF" w:rsidRDefault="00000000">
      <w:r>
        <w:t>Если все 90 услуг реализованы по 10 000 тг, результат при фактических затратах — 30 000 тг, а не модельные 60 000 из предыдущей страницы. Для объяснения оставшихся 30 000 нужны данные о ценах ресурсов, расходе, доработках и составе заказов.</w:t>
      </w:r>
    </w:p>
    <w:p w14:paraId="0489539F" w14:textId="77777777" w:rsidR="007544FF" w:rsidRDefault="00000000">
      <w:r>
        <w:t>Даже обозначение «неблагоприятное отклонение» относится к сравнению с моделью, а не к моральной оценке сотрудника. Дополнительные расходы могли предотвратить больший ущерб или обеспечить обязательное качество. Это следует проверить и отдельно согласовать.</w:t>
      </w:r>
    </w:p>
    <w:p w14:paraId="2359A972" w14:textId="77777777" w:rsidR="007544FF" w:rsidRDefault="00000000">
      <w:r>
        <w:t>Резерв бюджета не является свободной суммой для любых пожеланий. Для его использования задают назначение, полномочия и фиксацию причины. Новые существенные работы требуют пересмотра объема и плана, а не скрытого растворения в резерве.</w:t>
      </w:r>
    </w:p>
    <w:p w14:paraId="41C6341C" w14:textId="77777777" w:rsidR="007544FF" w:rsidRDefault="00000000">
      <w:pPr>
        <w:pStyle w:val="1"/>
        <w:pageBreakBefore/>
      </w:pPr>
      <w:r>
        <w:lastRenderedPageBreak/>
        <w:t>5. Корректировка и цикл PDSA</w:t>
      </w:r>
    </w:p>
    <w:p w14:paraId="6BC9EAC3" w14:textId="77777777" w:rsidR="007544FF" w:rsidRDefault="00000000">
      <w:r>
        <w:t>Обнаружив отклонение, менеджер проверяет: верны ли данные, реалистичен ли критерий, изменились ли условия, где находится причина и какое действие способно на нее повлиять. Увеличение частоты отчета не всегда уменьшает само отклонение.</w:t>
      </w:r>
    </w:p>
    <w:p w14:paraId="3C403DD1" w14:textId="77777777" w:rsidR="007544FF" w:rsidRDefault="00000000">
      <w:r>
        <w:t xml:space="preserve">Институт Деминга описывает цикл </w:t>
      </w:r>
      <w:r>
        <w:rPr>
          <w:b/>
        </w:rPr>
        <w:t>PDSA: Plan — Do — Study — Act</w:t>
      </w:r>
      <w:r>
        <w:t>. В нем планируют проверку и ожидаемый результат, выполняют ограниченное изменение, изучают наблюдения и действуют на основании полученного знания. Важно именно изучение, а не только отметка соответствия заранее желательному выводу [4].</w:t>
      </w:r>
    </w:p>
    <w:tbl>
      <w:tblPr>
        <w:tblW w:w="0" w:type="auto"/>
        <w:jc w:val="center"/>
        <w:tblLayout w:type="fixed"/>
        <w:tblLook w:val="04A0" w:firstRow="1" w:lastRow="0" w:firstColumn="1" w:lastColumn="0" w:noHBand="0" w:noVBand="1"/>
      </w:tblPr>
      <w:tblGrid>
        <w:gridCol w:w="3005"/>
        <w:gridCol w:w="6633"/>
      </w:tblGrid>
      <w:tr w:rsidR="007544FF" w14:paraId="59A79251" w14:textId="77777777">
        <w:trPr>
          <w:cantSplit/>
          <w:tblHeader/>
          <w:jc w:val="center"/>
        </w:trPr>
        <w:tc>
          <w:tcPr>
            <w:tcW w:w="3005" w:type="dxa"/>
            <w:shd w:val="clear" w:color="auto" w:fill="213C4B"/>
            <w:tcMar>
              <w:top w:w="90" w:type="dxa"/>
              <w:left w:w="90" w:type="dxa"/>
              <w:bottom w:w="90" w:type="dxa"/>
              <w:right w:w="90" w:type="dxa"/>
            </w:tcMar>
            <w:vAlign w:val="center"/>
          </w:tcPr>
          <w:p w14:paraId="079041E3" w14:textId="77777777" w:rsidR="007544FF" w:rsidRDefault="00000000">
            <w:pPr>
              <w:pStyle w:val="TableText"/>
            </w:pPr>
            <w:r>
              <w:rPr>
                <w:b/>
                <w:color w:val="FFFFFF"/>
              </w:rPr>
              <w:t>Этап</w:t>
            </w:r>
          </w:p>
        </w:tc>
        <w:tc>
          <w:tcPr>
            <w:tcW w:w="6633" w:type="dxa"/>
            <w:shd w:val="clear" w:color="auto" w:fill="213C4B"/>
            <w:tcMar>
              <w:top w:w="90" w:type="dxa"/>
              <w:left w:w="90" w:type="dxa"/>
              <w:bottom w:w="90" w:type="dxa"/>
              <w:right w:w="90" w:type="dxa"/>
            </w:tcMar>
            <w:vAlign w:val="center"/>
          </w:tcPr>
          <w:p w14:paraId="443C5577" w14:textId="77777777" w:rsidR="007544FF" w:rsidRPr="006B4C7C" w:rsidRDefault="00000000">
            <w:pPr>
              <w:pStyle w:val="TableText"/>
              <w:rPr>
                <w:lang w:val="ru-RU"/>
              </w:rPr>
            </w:pPr>
            <w:r w:rsidRPr="006B4C7C">
              <w:rPr>
                <w:b/>
                <w:color w:val="FFFFFF"/>
                <w:lang w:val="ru-RU"/>
              </w:rPr>
              <w:t>Авторский пример для приемки заказов</w:t>
            </w:r>
          </w:p>
        </w:tc>
      </w:tr>
      <w:tr w:rsidR="007544FF" w14:paraId="78C88208" w14:textId="77777777">
        <w:trPr>
          <w:cantSplit/>
          <w:jc w:val="center"/>
        </w:trPr>
        <w:tc>
          <w:tcPr>
            <w:tcW w:w="3005" w:type="dxa"/>
            <w:shd w:val="clear" w:color="auto" w:fill="EEF4F5"/>
            <w:tcMar>
              <w:top w:w="90" w:type="dxa"/>
              <w:left w:w="90" w:type="dxa"/>
              <w:bottom w:w="90" w:type="dxa"/>
              <w:right w:w="90" w:type="dxa"/>
            </w:tcMar>
            <w:vAlign w:val="center"/>
          </w:tcPr>
          <w:p w14:paraId="0CA51056" w14:textId="77777777" w:rsidR="007544FF" w:rsidRDefault="00000000">
            <w:pPr>
              <w:pStyle w:val="TableText"/>
            </w:pPr>
            <w:r>
              <w:t>Plan</w:t>
            </w:r>
          </w:p>
        </w:tc>
        <w:tc>
          <w:tcPr>
            <w:tcW w:w="6633" w:type="dxa"/>
            <w:shd w:val="clear" w:color="auto" w:fill="EEF4F5"/>
            <w:tcMar>
              <w:top w:w="90" w:type="dxa"/>
              <w:left w:w="90" w:type="dxa"/>
              <w:bottom w:w="90" w:type="dxa"/>
              <w:right w:w="90" w:type="dxa"/>
            </w:tcMar>
            <w:vAlign w:val="center"/>
          </w:tcPr>
          <w:p w14:paraId="33705DBA" w14:textId="77777777" w:rsidR="007544FF" w:rsidRPr="006B4C7C" w:rsidRDefault="00000000">
            <w:pPr>
              <w:pStyle w:val="TableText"/>
              <w:rPr>
                <w:lang w:val="ru-RU"/>
              </w:rPr>
            </w:pPr>
            <w:r w:rsidRPr="006B4C7C">
              <w:rPr>
                <w:lang w:val="ru-RU"/>
              </w:rPr>
              <w:t>Предположить, что проверка комплектации уменьшит возвраты</w:t>
            </w:r>
          </w:p>
        </w:tc>
      </w:tr>
      <w:tr w:rsidR="007544FF" w14:paraId="300A1E82" w14:textId="77777777">
        <w:trPr>
          <w:cantSplit/>
          <w:jc w:val="center"/>
        </w:trPr>
        <w:tc>
          <w:tcPr>
            <w:tcW w:w="3005" w:type="dxa"/>
            <w:tcMar>
              <w:top w:w="90" w:type="dxa"/>
              <w:left w:w="90" w:type="dxa"/>
              <w:bottom w:w="90" w:type="dxa"/>
              <w:right w:w="90" w:type="dxa"/>
            </w:tcMar>
            <w:vAlign w:val="center"/>
          </w:tcPr>
          <w:p w14:paraId="3F316877" w14:textId="77777777" w:rsidR="007544FF" w:rsidRDefault="00000000">
            <w:pPr>
              <w:pStyle w:val="TableText"/>
            </w:pPr>
            <w:r>
              <w:t>Do</w:t>
            </w:r>
          </w:p>
        </w:tc>
        <w:tc>
          <w:tcPr>
            <w:tcW w:w="6633" w:type="dxa"/>
            <w:tcMar>
              <w:top w:w="90" w:type="dxa"/>
              <w:left w:w="90" w:type="dxa"/>
              <w:bottom w:w="90" w:type="dxa"/>
              <w:right w:w="90" w:type="dxa"/>
            </w:tcMar>
            <w:vAlign w:val="center"/>
          </w:tcPr>
          <w:p w14:paraId="658164EF" w14:textId="77777777" w:rsidR="007544FF" w:rsidRPr="006B4C7C" w:rsidRDefault="00000000">
            <w:pPr>
              <w:pStyle w:val="TableText"/>
              <w:rPr>
                <w:lang w:val="ru-RU"/>
              </w:rPr>
            </w:pPr>
            <w:r w:rsidRPr="006B4C7C">
              <w:rPr>
                <w:lang w:val="ru-RU"/>
              </w:rPr>
              <w:t>Использовать новую форму в одной группе заявок</w:t>
            </w:r>
          </w:p>
        </w:tc>
      </w:tr>
      <w:tr w:rsidR="007544FF" w14:paraId="6D232B18" w14:textId="77777777">
        <w:trPr>
          <w:cantSplit/>
          <w:jc w:val="center"/>
        </w:trPr>
        <w:tc>
          <w:tcPr>
            <w:tcW w:w="3005" w:type="dxa"/>
            <w:shd w:val="clear" w:color="auto" w:fill="EEF4F5"/>
            <w:tcMar>
              <w:top w:w="90" w:type="dxa"/>
              <w:left w:w="90" w:type="dxa"/>
              <w:bottom w:w="90" w:type="dxa"/>
              <w:right w:w="90" w:type="dxa"/>
            </w:tcMar>
            <w:vAlign w:val="center"/>
          </w:tcPr>
          <w:p w14:paraId="0F413A78" w14:textId="77777777" w:rsidR="007544FF" w:rsidRDefault="00000000">
            <w:pPr>
              <w:pStyle w:val="TableText"/>
            </w:pPr>
            <w:r>
              <w:t>Study</w:t>
            </w:r>
          </w:p>
        </w:tc>
        <w:tc>
          <w:tcPr>
            <w:tcW w:w="6633" w:type="dxa"/>
            <w:shd w:val="clear" w:color="auto" w:fill="EEF4F5"/>
            <w:tcMar>
              <w:top w:w="90" w:type="dxa"/>
              <w:left w:w="90" w:type="dxa"/>
              <w:bottom w:w="90" w:type="dxa"/>
              <w:right w:w="90" w:type="dxa"/>
            </w:tcMar>
            <w:vAlign w:val="center"/>
          </w:tcPr>
          <w:p w14:paraId="546CCDE2" w14:textId="77777777" w:rsidR="007544FF" w:rsidRPr="006B4C7C" w:rsidRDefault="00000000">
            <w:pPr>
              <w:pStyle w:val="TableText"/>
              <w:rPr>
                <w:lang w:val="ru-RU"/>
              </w:rPr>
            </w:pPr>
            <w:r w:rsidRPr="006B4C7C">
              <w:rPr>
                <w:lang w:val="ru-RU"/>
              </w:rPr>
              <w:t>Сравнить возвраты, время и исключения с ожиданием</w:t>
            </w:r>
          </w:p>
        </w:tc>
      </w:tr>
      <w:tr w:rsidR="007544FF" w14:paraId="177C0892" w14:textId="77777777">
        <w:trPr>
          <w:cantSplit/>
          <w:jc w:val="center"/>
        </w:trPr>
        <w:tc>
          <w:tcPr>
            <w:tcW w:w="3005" w:type="dxa"/>
            <w:tcMar>
              <w:top w:w="90" w:type="dxa"/>
              <w:left w:w="90" w:type="dxa"/>
              <w:bottom w:w="90" w:type="dxa"/>
              <w:right w:w="90" w:type="dxa"/>
            </w:tcMar>
            <w:vAlign w:val="center"/>
          </w:tcPr>
          <w:p w14:paraId="7939294F" w14:textId="77777777" w:rsidR="007544FF" w:rsidRDefault="00000000">
            <w:pPr>
              <w:pStyle w:val="TableText"/>
            </w:pPr>
            <w:r>
              <w:t>Act</w:t>
            </w:r>
          </w:p>
        </w:tc>
        <w:tc>
          <w:tcPr>
            <w:tcW w:w="6633" w:type="dxa"/>
            <w:tcMar>
              <w:top w:w="90" w:type="dxa"/>
              <w:left w:w="90" w:type="dxa"/>
              <w:bottom w:w="90" w:type="dxa"/>
              <w:right w:w="90" w:type="dxa"/>
            </w:tcMar>
            <w:vAlign w:val="center"/>
          </w:tcPr>
          <w:p w14:paraId="20F2A3A1" w14:textId="77777777" w:rsidR="007544FF" w:rsidRPr="006B4C7C" w:rsidRDefault="00000000">
            <w:pPr>
              <w:pStyle w:val="TableText"/>
              <w:rPr>
                <w:lang w:val="ru-RU"/>
              </w:rPr>
            </w:pPr>
            <w:r w:rsidRPr="006B4C7C">
              <w:rPr>
                <w:lang w:val="ru-RU"/>
              </w:rPr>
              <w:t>Доработать, распространить либо отказаться с объяснением</w:t>
            </w:r>
          </w:p>
        </w:tc>
      </w:tr>
    </w:tbl>
    <w:p w14:paraId="0C617B8B" w14:textId="77777777" w:rsidR="007544FF" w:rsidRDefault="007544FF">
      <w:pPr>
        <w:spacing w:after="40" w:line="240" w:lineRule="auto"/>
      </w:pPr>
    </w:p>
    <w:p w14:paraId="12CD474F" w14:textId="77777777" w:rsidR="007544FF" w:rsidRDefault="00000000">
      <w:r>
        <w:t>Критерий успеха задают до получения результата. Допустим, новая форма снизила возвраты, но удвоила время приемки. Это не обязательно провал, однако требуется анализ общего потока и затрат. Один положительный показатель не завершает оценку.</w:t>
      </w:r>
    </w:p>
    <w:p w14:paraId="683563EF" w14:textId="77777777" w:rsidR="007544FF" w:rsidRDefault="00000000">
      <w:r>
        <w:t>Если проверка не подтвердила гипотезу, полезно выяснить, не работало ли решение, не выполнялось ли оно или неверно ли измерялся результат. Эти варианты требуют разных следующих шагов. Не следует менять критерий задним числом только ради положительного отчета.</w:t>
      </w:r>
    </w:p>
    <w:p w14:paraId="6347B78A" w14:textId="77777777" w:rsidR="007544FF" w:rsidRDefault="00000000">
      <w:r>
        <w:t>Корректирующее действие получает владельца, срок и свидетельство завершения. Запись «усилить контроль» недостаточна. Более проверяемо: изменить правило проверки конкретного поля, обучить участников и проверить десять сопоставимых заявок после внедрения.</w:t>
      </w:r>
    </w:p>
    <w:p w14:paraId="515922AA" w14:textId="77777777" w:rsidR="007544FF" w:rsidRDefault="00000000">
      <w:r>
        <w:t>Контроль завершает один цикл и начинает следующий. Данные возвращаются в планирование, организацию, обучение и мотивацию. Поэтому контроль — функция развития управления, а не изолированная процедура поиска ошибок.</w:t>
      </w:r>
    </w:p>
    <w:p w14:paraId="6393C56C" w14:textId="77777777" w:rsidR="007544FF" w:rsidRDefault="00000000">
      <w:pPr>
        <w:pStyle w:val="1"/>
        <w:pageBreakBefore/>
      </w:pPr>
      <w:r>
        <w:lastRenderedPageBreak/>
        <w:t>Самопроверка и самостоятельная работа</w:t>
      </w:r>
    </w:p>
    <w:p w14:paraId="3709AF21" w14:textId="77777777" w:rsidR="007544FF" w:rsidRPr="006B4C7C" w:rsidRDefault="00000000">
      <w:pPr>
        <w:pStyle w:val="Small"/>
        <w:rPr>
          <w:lang w:val="ru-RU"/>
        </w:rPr>
      </w:pPr>
      <w:r w:rsidRPr="006B4C7C">
        <w:rPr>
          <w:lang w:val="ru-RU"/>
        </w:rPr>
        <w:t>Сначала сформулируйте ответ самостоятельно, затем сопоставьте его с ориентиром. Допустимы другие примеры при сохранении корректной логики.</w:t>
      </w:r>
    </w:p>
    <w:p w14:paraId="0990583D" w14:textId="77777777" w:rsidR="007544FF" w:rsidRDefault="00000000">
      <w:r>
        <w:rPr>
          <w:b/>
        </w:rPr>
        <w:t>1. Что отличает контроль от сбора отчетности?</w:t>
      </w:r>
      <w:r>
        <w:t xml:space="preserve"> Контроль включает критерий, сравнение, анализ и управленческое действие.</w:t>
      </w:r>
    </w:p>
    <w:p w14:paraId="0195C813" w14:textId="77777777" w:rsidR="007544FF" w:rsidRDefault="00000000">
      <w:r>
        <w:rPr>
          <w:b/>
        </w:rPr>
        <w:t>2. Почему показателю нужны исключения и знаменатель?</w:t>
      </w:r>
      <w:r>
        <w:t xml:space="preserve"> Без них одинаковое название может скрывать разные способы учета и несопоставимые результаты.</w:t>
      </w:r>
    </w:p>
    <w:p w14:paraId="6A291EF2" w14:textId="77777777" w:rsidR="007544FF" w:rsidRDefault="00000000">
      <w:r>
        <w:rPr>
          <w:b/>
        </w:rPr>
        <w:t>3. Какова безубыточность при F = 300 000, P = 10 000, v = 6 000?</w:t>
      </w:r>
      <w:r>
        <w:t xml:space="preserve"> 75 заказов при допущениях однопродуктовой линейной модели.</w:t>
      </w:r>
    </w:p>
    <w:p w14:paraId="469523E6" w14:textId="77777777" w:rsidR="007544FF" w:rsidRDefault="00000000">
      <w:r>
        <w:rPr>
          <w:b/>
        </w:rPr>
        <w:t>4. Почему нельзя все 90 000 тг превышения назвать перерасходом на тот же объем?</w:t>
      </w:r>
      <w:r>
        <w:t xml:space="preserve"> Объем вырос: 60 000 связано с количеством в модели, 30 000 — с отклонением от гибкого бюджета.</w:t>
      </w:r>
    </w:p>
    <w:p w14:paraId="628F08C4" w14:textId="77777777" w:rsidR="007544FF" w:rsidRDefault="00000000">
      <w:r>
        <w:rPr>
          <w:b/>
        </w:rPr>
        <w:t>5. Что означает Study в PDSA?</w:t>
      </w:r>
      <w:r>
        <w:t xml:space="preserve"> Изучение фактического результата и его отличия от ожидания для получения нового знания.</w:t>
      </w:r>
    </w:p>
    <w:p w14:paraId="5E48C550" w14:textId="7B01A2F0" w:rsidR="007544FF" w:rsidRPr="006B4C7C" w:rsidRDefault="007544FF">
      <w:pPr>
        <w:pStyle w:val="Small"/>
        <w:rPr>
          <w:lang w:val="ru-RU"/>
        </w:rPr>
      </w:pPr>
    </w:p>
    <w:sectPr w:rsidR="007544FF" w:rsidRPr="006B4C7C" w:rsidSect="00034616">
      <w:headerReference w:type="default" r:id="rId8"/>
      <w:footerReference w:type="default" r:id="rId9"/>
      <w:pgSz w:w="11906" w:h="16838"/>
      <w:pgMar w:top="1020" w:right="1134" w:bottom="1020" w:left="1134"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AC157" w14:textId="77777777" w:rsidR="00E91CFA" w:rsidRDefault="00E91CFA">
      <w:pPr>
        <w:spacing w:after="0" w:line="240" w:lineRule="auto"/>
      </w:pPr>
      <w:r>
        <w:separator/>
      </w:r>
    </w:p>
  </w:endnote>
  <w:endnote w:type="continuationSeparator" w:id="0">
    <w:p w14:paraId="5B955427" w14:textId="77777777" w:rsidR="00E91CFA" w:rsidRDefault="00E91C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DA4DF" w14:textId="05FC00B7" w:rsidR="007544FF" w:rsidRDefault="007544FF">
    <w:pPr>
      <w:pStyle w:val="Small"/>
      <w:tabs>
        <w:tab w:val="left" w:pos="830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9A66E" w14:textId="77777777" w:rsidR="00E91CFA" w:rsidRDefault="00E91CFA">
      <w:pPr>
        <w:spacing w:after="0" w:line="240" w:lineRule="auto"/>
      </w:pPr>
      <w:r>
        <w:separator/>
      </w:r>
    </w:p>
  </w:footnote>
  <w:footnote w:type="continuationSeparator" w:id="0">
    <w:p w14:paraId="7AF46C44" w14:textId="77777777" w:rsidR="00E91CFA" w:rsidRDefault="00E91C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2D5DF" w14:textId="184E1157" w:rsidR="007544FF" w:rsidRDefault="007544FF">
    <w:pPr>
      <w:pStyle w:val="Small"/>
      <w:pBdr>
        <w:bottom w:val="single" w:sz="4" w:space="0" w:color="BFCED2"/>
      </w:pBd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451045871">
    <w:abstractNumId w:val="8"/>
  </w:num>
  <w:num w:numId="2" w16cid:durableId="315499234">
    <w:abstractNumId w:val="6"/>
  </w:num>
  <w:num w:numId="3" w16cid:durableId="937256497">
    <w:abstractNumId w:val="5"/>
  </w:num>
  <w:num w:numId="4" w16cid:durableId="634530455">
    <w:abstractNumId w:val="4"/>
  </w:num>
  <w:num w:numId="5" w16cid:durableId="249462692">
    <w:abstractNumId w:val="7"/>
  </w:num>
  <w:num w:numId="6" w16cid:durableId="1839032164">
    <w:abstractNumId w:val="3"/>
  </w:num>
  <w:num w:numId="7" w16cid:durableId="118959376">
    <w:abstractNumId w:val="2"/>
  </w:num>
  <w:num w:numId="8" w16cid:durableId="583955819">
    <w:abstractNumId w:val="1"/>
  </w:num>
  <w:num w:numId="9" w16cid:durableId="2924430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40293"/>
    <w:rsid w:val="0015074B"/>
    <w:rsid w:val="0029639D"/>
    <w:rsid w:val="00326F90"/>
    <w:rsid w:val="006B4C7C"/>
    <w:rsid w:val="007544FF"/>
    <w:rsid w:val="00AA1D8D"/>
    <w:rsid w:val="00B47730"/>
    <w:rsid w:val="00CB0664"/>
    <w:rsid w:val="00E91CF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C8511D"/>
  <w14:defaultImageDpi w14:val="300"/>
  <w15:docId w15:val="{8A2F6BFF-BE32-432B-A948-FD2E85CC3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40" w:line="271" w:lineRule="auto"/>
    </w:pPr>
    <w:rPr>
      <w:rFonts w:ascii="Times New Roman" w:eastAsia="Times New Roman" w:hAnsi="Times New Roman" w:cs="Times New Roman"/>
      <w:sz w:val="26"/>
      <w:lang w:val="ru-RU"/>
    </w:rPr>
  </w:style>
  <w:style w:type="paragraph" w:styleId="1">
    <w:name w:val="heading 1"/>
    <w:basedOn w:val="a1"/>
    <w:next w:val="a1"/>
    <w:link w:val="10"/>
    <w:uiPriority w:val="9"/>
    <w:qFormat/>
    <w:rsid w:val="00FC693F"/>
    <w:pPr>
      <w:keepNext/>
      <w:keepLines/>
      <w:spacing w:before="160" w:after="180"/>
      <w:outlineLvl w:val="0"/>
    </w:pPr>
    <w:rPr>
      <w:rFonts w:asciiTheme="majorHAnsi" w:eastAsiaTheme="majorEastAsia" w:hAnsiTheme="majorHAnsi" w:cstheme="majorBidi"/>
      <w:b/>
      <w:bCs/>
      <w:color w:val="213C4B"/>
      <w:sz w:val="30"/>
      <w:szCs w:val="28"/>
    </w:rPr>
  </w:style>
  <w:style w:type="paragraph" w:styleId="21">
    <w:name w:val="heading 2"/>
    <w:basedOn w:val="a1"/>
    <w:next w:val="a1"/>
    <w:link w:val="22"/>
    <w:uiPriority w:val="9"/>
    <w:unhideWhenUsed/>
    <w:qFormat/>
    <w:rsid w:val="00FC693F"/>
    <w:pPr>
      <w:keepNext/>
      <w:keepLines/>
      <w:spacing w:before="160" w:after="180"/>
      <w:outlineLvl w:val="1"/>
    </w:pPr>
    <w:rPr>
      <w:rFonts w:asciiTheme="majorHAnsi" w:eastAsiaTheme="majorEastAsia" w:hAnsiTheme="majorHAnsi" w:cstheme="majorBidi"/>
      <w:b/>
      <w:bCs/>
      <w:color w:val="28747A"/>
      <w:sz w:val="25"/>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after="180" w:line="240" w:lineRule="auto"/>
      <w:contextualSpacing/>
    </w:pPr>
    <w:rPr>
      <w:rFonts w:asciiTheme="majorHAnsi" w:eastAsiaTheme="majorEastAsia" w:hAnsiTheme="majorHAnsi" w:cstheme="majorBidi"/>
      <w:b/>
      <w:color w:val="213C4B"/>
      <w:spacing w:val="5"/>
      <w:kern w:val="28"/>
      <w:sz w:val="40"/>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rPr>
      <w:sz w:val="24"/>
    </w:r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eastAsia="Courier" w:hAnsi="Courier" w:cs="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pPr>
      <w:spacing w:after="120" w:line="259" w:lineRule="auto"/>
    </w:pPr>
    <w:rPr>
      <w:rFonts w:ascii="Arial" w:eastAsia="Arial" w:hAnsi="Arial" w:cs="Arial"/>
      <w:color w:val="5D6870"/>
      <w:sz w:val="19"/>
    </w:rPr>
  </w:style>
  <w:style w:type="paragraph" w:customStyle="1" w:styleId="TableText">
    <w:name w:val="Table Text"/>
    <w:pPr>
      <w:spacing w:after="40" w:line="259" w:lineRule="auto"/>
    </w:pPr>
    <w:rPr>
      <w:rFonts w:ascii="Arial" w:eastAsia="Arial" w:hAnsi="Arial" w:cs="Arial"/>
      <w:sz w:val="20"/>
    </w:rPr>
  </w:style>
  <w:style w:type="paragraph" w:customStyle="1" w:styleId="Callout">
    <w:name w:val="Callout"/>
    <w:pPr>
      <w:spacing w:before="120" w:after="160" w:line="259" w:lineRule="auto"/>
      <w:ind w:left="142" w:right="113"/>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1522</Words>
  <Characters>8677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10179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Управленческий контроль, показатели и основы бюджетирования</dc:title>
  <dc:subject>Лекционный материал курса «Основы менеджмента»</dc:subject>
  <dc:creator>Учебные материалы</dc:creator>
  <cp:keywords>менеджмент, бакалавриат, дистанционное обучение</cp:keywords>
  <dc:description>generated by python-docx</dc:description>
  <cp:lastModifiedBy>Mikhail Sizov</cp:lastModifiedBy>
  <cp:revision>3</cp:revision>
  <dcterms:created xsi:type="dcterms:W3CDTF">2013-12-23T23:15:00Z</dcterms:created>
  <dcterms:modified xsi:type="dcterms:W3CDTF">2026-10-06T13:51:00Z</dcterms:modified>
  <cp:category/>
  <dc:language>ru-RU</dc:language>
</cp:coreProperties>
</file>