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C609D" w14:textId="77777777" w:rsidR="00C16293" w:rsidRPr="00C16293" w:rsidRDefault="00000000" w:rsidP="00C16293">
      <w:pPr>
        <w:pStyle w:val="aa"/>
      </w:pPr>
      <w:r>
        <w:t>Организационная культура, этика и социальная ответственность</w:t>
      </w:r>
    </w:p>
    <w:p w14:paraId="49D9E3C8" w14:textId="1B5CC98A" w:rsidR="00D33886" w:rsidRDefault="00000000" w:rsidP="00C16293">
      <w:pPr>
        <w:pStyle w:val="aa"/>
      </w:pPr>
      <w:r>
        <w:t>1. Культура: наблюдать практики, а не только символы</w:t>
      </w:r>
    </w:p>
    <w:p w14:paraId="47044BD1" w14:textId="77777777" w:rsidR="00D33886" w:rsidRDefault="00000000">
      <w:r>
        <w:t>Для учебного исследования выделим три группы наблюдений. Первая — видимые проявления: язык, оформление, ритуалы и рабочие истории. Вторая — провозглашаемые ценности и официальные правила. Третья — устойчивые решения: за что поощряют, какие нарушения допускают, кто получает помощь и как реагируют на плохие новости. Это схема наблюдения, а не готовый диагностический тест.</w:t>
      </w:r>
    </w:p>
    <w:tbl>
      <w:tblPr>
        <w:tblW w:w="0" w:type="auto"/>
        <w:jc w:val="center"/>
        <w:tblLayout w:type="fixed"/>
        <w:tblLook w:val="04A0" w:firstRow="1" w:lastRow="0" w:firstColumn="1" w:lastColumn="0" w:noHBand="0" w:noVBand="1"/>
      </w:tblPr>
      <w:tblGrid>
        <w:gridCol w:w="2268"/>
        <w:gridCol w:w="3515"/>
        <w:gridCol w:w="3855"/>
      </w:tblGrid>
      <w:tr w:rsidR="00D33886" w14:paraId="79407CE4" w14:textId="77777777">
        <w:trPr>
          <w:cantSplit/>
          <w:tblHeader/>
          <w:jc w:val="center"/>
        </w:trPr>
        <w:tc>
          <w:tcPr>
            <w:tcW w:w="2268" w:type="dxa"/>
            <w:shd w:val="clear" w:color="auto" w:fill="213C4B"/>
            <w:tcMar>
              <w:top w:w="90" w:type="dxa"/>
              <w:left w:w="90" w:type="dxa"/>
              <w:bottom w:w="90" w:type="dxa"/>
              <w:right w:w="90" w:type="dxa"/>
            </w:tcMar>
            <w:vAlign w:val="center"/>
          </w:tcPr>
          <w:p w14:paraId="0ADD7ACE" w14:textId="77777777" w:rsidR="00D33886" w:rsidRDefault="00000000">
            <w:pPr>
              <w:pStyle w:val="TableText"/>
            </w:pPr>
            <w:r>
              <w:rPr>
                <w:b/>
                <w:color w:val="FFFFFF"/>
              </w:rPr>
              <w:t>Объект наблюдения</w:t>
            </w:r>
          </w:p>
        </w:tc>
        <w:tc>
          <w:tcPr>
            <w:tcW w:w="3515" w:type="dxa"/>
            <w:shd w:val="clear" w:color="auto" w:fill="213C4B"/>
            <w:tcMar>
              <w:top w:w="90" w:type="dxa"/>
              <w:left w:w="90" w:type="dxa"/>
              <w:bottom w:w="90" w:type="dxa"/>
              <w:right w:w="90" w:type="dxa"/>
            </w:tcMar>
            <w:vAlign w:val="center"/>
          </w:tcPr>
          <w:p w14:paraId="6DBCD732" w14:textId="77777777" w:rsidR="00D33886" w:rsidRDefault="00000000">
            <w:pPr>
              <w:pStyle w:val="TableText"/>
            </w:pPr>
            <w:r>
              <w:rPr>
                <w:b/>
                <w:color w:val="FFFFFF"/>
              </w:rPr>
              <w:t>Что можно увидеть</w:t>
            </w:r>
          </w:p>
        </w:tc>
        <w:tc>
          <w:tcPr>
            <w:tcW w:w="3855" w:type="dxa"/>
            <w:shd w:val="clear" w:color="auto" w:fill="213C4B"/>
            <w:tcMar>
              <w:top w:w="90" w:type="dxa"/>
              <w:left w:w="90" w:type="dxa"/>
              <w:bottom w:w="90" w:type="dxa"/>
              <w:right w:w="90" w:type="dxa"/>
            </w:tcMar>
            <w:vAlign w:val="center"/>
          </w:tcPr>
          <w:p w14:paraId="0098995F" w14:textId="77777777" w:rsidR="00D33886" w:rsidRPr="00C16293" w:rsidRDefault="00000000">
            <w:pPr>
              <w:pStyle w:val="TableText"/>
              <w:rPr>
                <w:lang w:val="ru-RU"/>
              </w:rPr>
            </w:pPr>
            <w:r w:rsidRPr="00C16293">
              <w:rPr>
                <w:b/>
                <w:color w:val="FFFFFF"/>
                <w:lang w:val="ru-RU"/>
              </w:rPr>
              <w:t>Какой вывод еще требует проверки</w:t>
            </w:r>
          </w:p>
        </w:tc>
      </w:tr>
      <w:tr w:rsidR="00D33886" w14:paraId="7423838E" w14:textId="77777777">
        <w:trPr>
          <w:cantSplit/>
          <w:jc w:val="center"/>
        </w:trPr>
        <w:tc>
          <w:tcPr>
            <w:tcW w:w="2268" w:type="dxa"/>
            <w:shd w:val="clear" w:color="auto" w:fill="EEF4F5"/>
            <w:tcMar>
              <w:top w:w="90" w:type="dxa"/>
              <w:left w:w="90" w:type="dxa"/>
              <w:bottom w:w="90" w:type="dxa"/>
              <w:right w:w="90" w:type="dxa"/>
            </w:tcMar>
            <w:vAlign w:val="center"/>
          </w:tcPr>
          <w:p w14:paraId="3A043D8D" w14:textId="77777777" w:rsidR="00D33886" w:rsidRDefault="00000000">
            <w:pPr>
              <w:pStyle w:val="TableText"/>
            </w:pPr>
            <w:r>
              <w:t>Совещание</w:t>
            </w:r>
          </w:p>
        </w:tc>
        <w:tc>
          <w:tcPr>
            <w:tcW w:w="3515" w:type="dxa"/>
            <w:shd w:val="clear" w:color="auto" w:fill="EEF4F5"/>
            <w:tcMar>
              <w:top w:w="90" w:type="dxa"/>
              <w:left w:w="90" w:type="dxa"/>
              <w:bottom w:w="90" w:type="dxa"/>
              <w:right w:w="90" w:type="dxa"/>
            </w:tcMar>
            <w:vAlign w:val="center"/>
          </w:tcPr>
          <w:p w14:paraId="4FBA1FDD" w14:textId="77777777" w:rsidR="00D33886" w:rsidRDefault="00000000">
            <w:pPr>
              <w:pStyle w:val="TableText"/>
            </w:pPr>
            <w:r>
              <w:t>Новичка перебили дважды</w:t>
            </w:r>
          </w:p>
        </w:tc>
        <w:tc>
          <w:tcPr>
            <w:tcW w:w="3855" w:type="dxa"/>
            <w:shd w:val="clear" w:color="auto" w:fill="EEF4F5"/>
            <w:tcMar>
              <w:top w:w="90" w:type="dxa"/>
              <w:left w:w="90" w:type="dxa"/>
              <w:bottom w:w="90" w:type="dxa"/>
              <w:right w:w="90" w:type="dxa"/>
            </w:tcMar>
            <w:vAlign w:val="center"/>
          </w:tcPr>
          <w:p w14:paraId="326552BA" w14:textId="77777777" w:rsidR="00D33886" w:rsidRPr="00C16293" w:rsidRDefault="00000000">
            <w:pPr>
              <w:pStyle w:val="TableText"/>
              <w:rPr>
                <w:lang w:val="ru-RU"/>
              </w:rPr>
            </w:pPr>
            <w:r w:rsidRPr="00C16293">
              <w:rPr>
                <w:lang w:val="ru-RU"/>
              </w:rPr>
              <w:t>Это общая норма или отдельный эпизод?</w:t>
            </w:r>
          </w:p>
        </w:tc>
      </w:tr>
      <w:tr w:rsidR="00D33886" w14:paraId="42138529" w14:textId="77777777">
        <w:trPr>
          <w:cantSplit/>
          <w:jc w:val="center"/>
        </w:trPr>
        <w:tc>
          <w:tcPr>
            <w:tcW w:w="2268" w:type="dxa"/>
            <w:tcMar>
              <w:top w:w="90" w:type="dxa"/>
              <w:left w:w="90" w:type="dxa"/>
              <w:bottom w:w="90" w:type="dxa"/>
              <w:right w:w="90" w:type="dxa"/>
            </w:tcMar>
            <w:vAlign w:val="center"/>
          </w:tcPr>
          <w:p w14:paraId="117AE490" w14:textId="77777777" w:rsidR="00D33886" w:rsidRDefault="00000000">
            <w:pPr>
              <w:pStyle w:val="TableText"/>
            </w:pPr>
            <w:r>
              <w:t>Премирование</w:t>
            </w:r>
          </w:p>
        </w:tc>
        <w:tc>
          <w:tcPr>
            <w:tcW w:w="3515" w:type="dxa"/>
            <w:tcMar>
              <w:top w:w="90" w:type="dxa"/>
              <w:left w:w="90" w:type="dxa"/>
              <w:bottom w:w="90" w:type="dxa"/>
              <w:right w:w="90" w:type="dxa"/>
            </w:tcMar>
            <w:vAlign w:val="center"/>
          </w:tcPr>
          <w:p w14:paraId="329F1319" w14:textId="77777777" w:rsidR="00D33886" w:rsidRDefault="00000000">
            <w:pPr>
              <w:pStyle w:val="TableText"/>
            </w:pPr>
            <w:r>
              <w:t>Поощряется только количество</w:t>
            </w:r>
          </w:p>
        </w:tc>
        <w:tc>
          <w:tcPr>
            <w:tcW w:w="3855" w:type="dxa"/>
            <w:tcMar>
              <w:top w:w="90" w:type="dxa"/>
              <w:left w:w="90" w:type="dxa"/>
              <w:bottom w:w="90" w:type="dxa"/>
              <w:right w:w="90" w:type="dxa"/>
            </w:tcMar>
            <w:vAlign w:val="center"/>
          </w:tcPr>
          <w:p w14:paraId="1BAC750F" w14:textId="77777777" w:rsidR="00D33886" w:rsidRPr="00C16293" w:rsidRDefault="00000000">
            <w:pPr>
              <w:pStyle w:val="TableText"/>
              <w:rPr>
                <w:lang w:val="ru-RU"/>
              </w:rPr>
            </w:pPr>
            <w:r w:rsidRPr="00C16293">
              <w:rPr>
                <w:lang w:val="ru-RU"/>
              </w:rPr>
              <w:t>Учитывается ли качество другими способами?</w:t>
            </w:r>
          </w:p>
        </w:tc>
      </w:tr>
      <w:tr w:rsidR="00D33886" w14:paraId="067BE410" w14:textId="77777777">
        <w:trPr>
          <w:cantSplit/>
          <w:jc w:val="center"/>
        </w:trPr>
        <w:tc>
          <w:tcPr>
            <w:tcW w:w="2268" w:type="dxa"/>
            <w:shd w:val="clear" w:color="auto" w:fill="EEF4F5"/>
            <w:tcMar>
              <w:top w:w="90" w:type="dxa"/>
              <w:left w:w="90" w:type="dxa"/>
              <w:bottom w:w="90" w:type="dxa"/>
              <w:right w:w="90" w:type="dxa"/>
            </w:tcMar>
            <w:vAlign w:val="center"/>
          </w:tcPr>
          <w:p w14:paraId="01E83F07" w14:textId="77777777" w:rsidR="00D33886" w:rsidRDefault="00000000">
            <w:pPr>
              <w:pStyle w:val="TableText"/>
            </w:pPr>
            <w:r>
              <w:t>Работа с ошибкой</w:t>
            </w:r>
          </w:p>
        </w:tc>
        <w:tc>
          <w:tcPr>
            <w:tcW w:w="3515" w:type="dxa"/>
            <w:shd w:val="clear" w:color="auto" w:fill="EEF4F5"/>
            <w:tcMar>
              <w:top w:w="90" w:type="dxa"/>
              <w:left w:w="90" w:type="dxa"/>
              <w:bottom w:w="90" w:type="dxa"/>
              <w:right w:w="90" w:type="dxa"/>
            </w:tcMar>
            <w:vAlign w:val="center"/>
          </w:tcPr>
          <w:p w14:paraId="45C6ADCF" w14:textId="77777777" w:rsidR="00D33886" w:rsidRDefault="00000000">
            <w:pPr>
              <w:pStyle w:val="TableText"/>
            </w:pPr>
            <w:r>
              <w:t>Дефект записан и исправлен</w:t>
            </w:r>
          </w:p>
        </w:tc>
        <w:tc>
          <w:tcPr>
            <w:tcW w:w="3855" w:type="dxa"/>
            <w:shd w:val="clear" w:color="auto" w:fill="EEF4F5"/>
            <w:tcMar>
              <w:top w:w="90" w:type="dxa"/>
              <w:left w:w="90" w:type="dxa"/>
              <w:bottom w:w="90" w:type="dxa"/>
              <w:right w:w="90" w:type="dxa"/>
            </w:tcMar>
            <w:vAlign w:val="center"/>
          </w:tcPr>
          <w:p w14:paraId="7206B5DD" w14:textId="77777777" w:rsidR="00D33886" w:rsidRPr="00C16293" w:rsidRDefault="00000000">
            <w:pPr>
              <w:pStyle w:val="TableText"/>
              <w:rPr>
                <w:lang w:val="ru-RU"/>
              </w:rPr>
            </w:pPr>
            <w:r w:rsidRPr="00C16293">
              <w:rPr>
                <w:lang w:val="ru-RU"/>
              </w:rPr>
              <w:t>Безопасно ли сообщать о других ошибках?</w:t>
            </w:r>
          </w:p>
        </w:tc>
      </w:tr>
      <w:tr w:rsidR="00D33886" w14:paraId="3CD46042" w14:textId="77777777">
        <w:trPr>
          <w:cantSplit/>
          <w:jc w:val="center"/>
        </w:trPr>
        <w:tc>
          <w:tcPr>
            <w:tcW w:w="2268" w:type="dxa"/>
            <w:tcMar>
              <w:top w:w="90" w:type="dxa"/>
              <w:left w:w="90" w:type="dxa"/>
              <w:bottom w:w="90" w:type="dxa"/>
              <w:right w:w="90" w:type="dxa"/>
            </w:tcMar>
            <w:vAlign w:val="center"/>
          </w:tcPr>
          <w:p w14:paraId="59E8E831" w14:textId="77777777" w:rsidR="00D33886" w:rsidRDefault="00000000">
            <w:pPr>
              <w:pStyle w:val="TableText"/>
            </w:pPr>
            <w:r>
              <w:t>Решение руководителя</w:t>
            </w:r>
          </w:p>
        </w:tc>
        <w:tc>
          <w:tcPr>
            <w:tcW w:w="3515" w:type="dxa"/>
            <w:tcMar>
              <w:top w:w="90" w:type="dxa"/>
              <w:left w:w="90" w:type="dxa"/>
              <w:bottom w:w="90" w:type="dxa"/>
              <w:right w:w="90" w:type="dxa"/>
            </w:tcMar>
            <w:vAlign w:val="center"/>
          </w:tcPr>
          <w:p w14:paraId="57208A59" w14:textId="77777777" w:rsidR="00D33886" w:rsidRDefault="00000000">
            <w:pPr>
              <w:pStyle w:val="TableText"/>
            </w:pPr>
            <w:r>
              <w:t>Срок перенесен ради проверки</w:t>
            </w:r>
          </w:p>
        </w:tc>
        <w:tc>
          <w:tcPr>
            <w:tcW w:w="3855" w:type="dxa"/>
            <w:tcMar>
              <w:top w:w="90" w:type="dxa"/>
              <w:left w:w="90" w:type="dxa"/>
              <w:bottom w:w="90" w:type="dxa"/>
              <w:right w:w="90" w:type="dxa"/>
            </w:tcMar>
            <w:vAlign w:val="center"/>
          </w:tcPr>
          <w:p w14:paraId="16685D6A" w14:textId="77777777" w:rsidR="00D33886" w:rsidRDefault="00000000">
            <w:pPr>
              <w:pStyle w:val="TableText"/>
            </w:pPr>
            <w:r>
              <w:t>Применяется ли правило последовательно?</w:t>
            </w:r>
          </w:p>
        </w:tc>
      </w:tr>
    </w:tbl>
    <w:p w14:paraId="3A7D9905" w14:textId="77777777" w:rsidR="00D33886" w:rsidRDefault="00D33886">
      <w:pPr>
        <w:spacing w:after="40" w:line="240" w:lineRule="auto"/>
      </w:pPr>
    </w:p>
    <w:p w14:paraId="7F6434DF" w14:textId="77777777" w:rsidR="00D33886" w:rsidRDefault="00000000">
      <w:r>
        <w:t>Культуру нельзя уверенно описывать по одному впечатлению. Полезны разные источники: документы, наблюдения, интервью и конкретные примеры решений. Противоречивые ответы не следует немедленно усреднять: они могут относиться к разным подразделениям, руководителям или периодам.</w:t>
      </w:r>
    </w:p>
    <w:p w14:paraId="424D49F8" w14:textId="77777777" w:rsidR="00D33886" w:rsidRDefault="00000000">
      <w:r>
        <w:rPr>
          <w:b/>
        </w:rPr>
        <w:t>Субкультура</w:t>
      </w:r>
      <w:r>
        <w:t xml:space="preserve"> означает особенности отдельной группы внутри организации. У службы безопасности и творческой команды могут различаться привычки обсуждения, но это не обязательно конфликт. Важно, сохраняются ли общие требования к взаимодействию и ответственности на границе их задач.</w:t>
      </w:r>
    </w:p>
    <w:p w14:paraId="2A1B8BC8" w14:textId="77777777" w:rsidR="00D33886" w:rsidRDefault="00000000">
      <w:r>
        <w:t>Сильная согласованность норм сама по себе не гарантирует полезность. Коллектив может одинаково поддерживать проверку качества или одинаково скрывать проблемы. Поэтому анализируют не только распространенность нормы, но и ее последствия: какие действия она делает вероятнее и кому создает затруднения.</w:t>
      </w:r>
    </w:p>
    <w:p w14:paraId="7DCE4594" w14:textId="77777777" w:rsidR="00D33886" w:rsidRDefault="00000000">
      <w:r>
        <w:t>Руководитель влияет на культуру повторяемыми решениями. Если правила меняются в зависимости от статуса участника, текст кодекса теряет практический смысл. Для изменения нормы недостаточно выступления: нужно изменить ожидания, доступные ресурсы, обратную связь и способы признания результата.</w:t>
      </w:r>
    </w:p>
    <w:p w14:paraId="6D503B5E" w14:textId="77777777" w:rsidR="00D33886" w:rsidRDefault="00000000">
      <w:pPr>
        <w:pStyle w:val="1"/>
        <w:pageBreakBefore/>
      </w:pPr>
      <w:r>
        <w:lastRenderedPageBreak/>
        <w:t>2. Этическое решение и заинтересованные стороны</w:t>
      </w:r>
    </w:p>
    <w:p w14:paraId="3A02880D" w14:textId="77777777" w:rsidR="00D33886" w:rsidRDefault="00000000">
      <w:r>
        <w:t>Этическая ситуация возникает, когда выбор затрагивает интересы и права других людей, а удобство организации не дает достаточного ответа. Например, можно ли скрыть существенное ограничение услуги ради выполнения плана? Кто должен знать о конфликте интересов при выборе поставщика? Как использовать данные, полученные для другой цели?</w:t>
      </w:r>
    </w:p>
    <w:p w14:paraId="0E2A1ACA" w14:textId="77777777" w:rsidR="00D33886" w:rsidRDefault="00000000">
      <w:r>
        <w:t>Источник [1] разграничивает этику и прикладные вопросы делового поведения. Для управленческого анализа полезно рассмотреть несколько оснований одновременно: последствия, соблюдение обязательств, справедливость процедуры и возможность открыто объяснить решение затронутым людям. Ни один короткий тест не освобождает от изучения обстоятельств.</w:t>
      </w:r>
    </w:p>
    <w:tbl>
      <w:tblPr>
        <w:tblW w:w="0" w:type="auto"/>
        <w:jc w:val="center"/>
        <w:tblLayout w:type="fixed"/>
        <w:tblLook w:val="04A0" w:firstRow="1" w:lastRow="0" w:firstColumn="1" w:lastColumn="0" w:noHBand="0" w:noVBand="1"/>
      </w:tblPr>
      <w:tblGrid>
        <w:gridCol w:w="3005"/>
        <w:gridCol w:w="6633"/>
      </w:tblGrid>
      <w:tr w:rsidR="00D33886" w14:paraId="3A34FCAA" w14:textId="77777777">
        <w:trPr>
          <w:cantSplit/>
          <w:tblHeader/>
          <w:jc w:val="center"/>
        </w:trPr>
        <w:tc>
          <w:tcPr>
            <w:tcW w:w="3005" w:type="dxa"/>
            <w:shd w:val="clear" w:color="auto" w:fill="213C4B"/>
            <w:tcMar>
              <w:top w:w="90" w:type="dxa"/>
              <w:left w:w="90" w:type="dxa"/>
              <w:bottom w:w="90" w:type="dxa"/>
              <w:right w:w="90" w:type="dxa"/>
            </w:tcMar>
            <w:vAlign w:val="center"/>
          </w:tcPr>
          <w:p w14:paraId="0052767A" w14:textId="77777777" w:rsidR="00D33886" w:rsidRDefault="00000000">
            <w:pPr>
              <w:pStyle w:val="TableText"/>
            </w:pPr>
            <w:r>
              <w:rPr>
                <w:b/>
                <w:color w:val="FFFFFF"/>
              </w:rPr>
              <w:t>Шаг анализа</w:t>
            </w:r>
          </w:p>
        </w:tc>
        <w:tc>
          <w:tcPr>
            <w:tcW w:w="6633" w:type="dxa"/>
            <w:shd w:val="clear" w:color="auto" w:fill="213C4B"/>
            <w:tcMar>
              <w:top w:w="90" w:type="dxa"/>
              <w:left w:w="90" w:type="dxa"/>
              <w:bottom w:w="90" w:type="dxa"/>
              <w:right w:w="90" w:type="dxa"/>
            </w:tcMar>
            <w:vAlign w:val="center"/>
          </w:tcPr>
          <w:p w14:paraId="7697D78C" w14:textId="77777777" w:rsidR="00D33886" w:rsidRDefault="00000000">
            <w:pPr>
              <w:pStyle w:val="TableText"/>
            </w:pPr>
            <w:r>
              <w:rPr>
                <w:b/>
                <w:color w:val="FFFFFF"/>
              </w:rPr>
              <w:t>Практический вопрос</w:t>
            </w:r>
          </w:p>
        </w:tc>
      </w:tr>
      <w:tr w:rsidR="00D33886" w14:paraId="3864602F" w14:textId="77777777">
        <w:trPr>
          <w:cantSplit/>
          <w:jc w:val="center"/>
        </w:trPr>
        <w:tc>
          <w:tcPr>
            <w:tcW w:w="3005" w:type="dxa"/>
            <w:shd w:val="clear" w:color="auto" w:fill="EEF4F5"/>
            <w:tcMar>
              <w:top w:w="90" w:type="dxa"/>
              <w:left w:w="90" w:type="dxa"/>
              <w:bottom w:w="90" w:type="dxa"/>
              <w:right w:w="90" w:type="dxa"/>
            </w:tcMar>
            <w:vAlign w:val="center"/>
          </w:tcPr>
          <w:p w14:paraId="1DCDCFB7" w14:textId="77777777" w:rsidR="00D33886" w:rsidRDefault="00000000">
            <w:pPr>
              <w:pStyle w:val="TableText"/>
            </w:pPr>
            <w:r>
              <w:t>Установить факты</w:t>
            </w:r>
          </w:p>
        </w:tc>
        <w:tc>
          <w:tcPr>
            <w:tcW w:w="6633" w:type="dxa"/>
            <w:shd w:val="clear" w:color="auto" w:fill="EEF4F5"/>
            <w:tcMar>
              <w:top w:w="90" w:type="dxa"/>
              <w:left w:w="90" w:type="dxa"/>
              <w:bottom w:w="90" w:type="dxa"/>
              <w:right w:w="90" w:type="dxa"/>
            </w:tcMar>
            <w:vAlign w:val="center"/>
          </w:tcPr>
          <w:p w14:paraId="7BA65DAB" w14:textId="77777777" w:rsidR="00D33886" w:rsidRPr="00C16293" w:rsidRDefault="00000000">
            <w:pPr>
              <w:pStyle w:val="TableText"/>
              <w:rPr>
                <w:lang w:val="ru-RU"/>
              </w:rPr>
            </w:pPr>
            <w:r w:rsidRPr="00C16293">
              <w:rPr>
                <w:lang w:val="ru-RU"/>
              </w:rPr>
              <w:t>Что подтверждено, что предполагается, чего мы не знаем?</w:t>
            </w:r>
          </w:p>
        </w:tc>
      </w:tr>
      <w:tr w:rsidR="00D33886" w14:paraId="71BD535F" w14:textId="77777777">
        <w:trPr>
          <w:cantSplit/>
          <w:jc w:val="center"/>
        </w:trPr>
        <w:tc>
          <w:tcPr>
            <w:tcW w:w="3005" w:type="dxa"/>
            <w:tcMar>
              <w:top w:w="90" w:type="dxa"/>
              <w:left w:w="90" w:type="dxa"/>
              <w:bottom w:w="90" w:type="dxa"/>
              <w:right w:w="90" w:type="dxa"/>
            </w:tcMar>
            <w:vAlign w:val="center"/>
          </w:tcPr>
          <w:p w14:paraId="7DCAB6AC" w14:textId="77777777" w:rsidR="00D33886" w:rsidRDefault="00000000">
            <w:pPr>
              <w:pStyle w:val="TableText"/>
            </w:pPr>
            <w:r>
              <w:t>Определить участников</w:t>
            </w:r>
          </w:p>
        </w:tc>
        <w:tc>
          <w:tcPr>
            <w:tcW w:w="6633" w:type="dxa"/>
            <w:tcMar>
              <w:top w:w="90" w:type="dxa"/>
              <w:left w:w="90" w:type="dxa"/>
              <w:bottom w:w="90" w:type="dxa"/>
              <w:right w:w="90" w:type="dxa"/>
            </w:tcMar>
            <w:vAlign w:val="center"/>
          </w:tcPr>
          <w:p w14:paraId="64CEEF40" w14:textId="77777777" w:rsidR="00D33886" w:rsidRPr="00C16293" w:rsidRDefault="00000000">
            <w:pPr>
              <w:pStyle w:val="TableText"/>
              <w:rPr>
                <w:lang w:val="ru-RU"/>
              </w:rPr>
            </w:pPr>
            <w:r w:rsidRPr="00C16293">
              <w:rPr>
                <w:lang w:val="ru-RU"/>
              </w:rPr>
              <w:t xml:space="preserve">Кто получает выгоду, кто несет </w:t>
            </w:r>
            <w:proofErr w:type="gramStart"/>
            <w:r w:rsidRPr="00C16293">
              <w:rPr>
                <w:lang w:val="ru-RU"/>
              </w:rPr>
              <w:t>затраты</w:t>
            </w:r>
            <w:proofErr w:type="gramEnd"/>
            <w:r w:rsidRPr="00C16293">
              <w:rPr>
                <w:lang w:val="ru-RU"/>
              </w:rPr>
              <w:t xml:space="preserve"> и кто не может возразить?</w:t>
            </w:r>
          </w:p>
        </w:tc>
      </w:tr>
      <w:tr w:rsidR="00D33886" w14:paraId="3FDC3128" w14:textId="77777777">
        <w:trPr>
          <w:cantSplit/>
          <w:jc w:val="center"/>
        </w:trPr>
        <w:tc>
          <w:tcPr>
            <w:tcW w:w="3005" w:type="dxa"/>
            <w:shd w:val="clear" w:color="auto" w:fill="EEF4F5"/>
            <w:tcMar>
              <w:top w:w="90" w:type="dxa"/>
              <w:left w:w="90" w:type="dxa"/>
              <w:bottom w:w="90" w:type="dxa"/>
              <w:right w:w="90" w:type="dxa"/>
            </w:tcMar>
            <w:vAlign w:val="center"/>
          </w:tcPr>
          <w:p w14:paraId="07345DA6" w14:textId="77777777" w:rsidR="00D33886" w:rsidRDefault="00000000">
            <w:pPr>
              <w:pStyle w:val="TableText"/>
            </w:pPr>
            <w:r>
              <w:t>Назвать ограничения</w:t>
            </w:r>
          </w:p>
        </w:tc>
        <w:tc>
          <w:tcPr>
            <w:tcW w:w="6633" w:type="dxa"/>
            <w:shd w:val="clear" w:color="auto" w:fill="EEF4F5"/>
            <w:tcMar>
              <w:top w:w="90" w:type="dxa"/>
              <w:left w:w="90" w:type="dxa"/>
              <w:bottom w:w="90" w:type="dxa"/>
              <w:right w:w="90" w:type="dxa"/>
            </w:tcMar>
            <w:vAlign w:val="center"/>
          </w:tcPr>
          <w:p w14:paraId="7EF95FC6" w14:textId="77777777" w:rsidR="00D33886" w:rsidRPr="00C16293" w:rsidRDefault="00000000">
            <w:pPr>
              <w:pStyle w:val="TableText"/>
              <w:rPr>
                <w:lang w:val="ru-RU"/>
              </w:rPr>
            </w:pPr>
            <w:r w:rsidRPr="00C16293">
              <w:rPr>
                <w:lang w:val="ru-RU"/>
              </w:rPr>
              <w:t>Какие обязательства и недопустимые последствия есть у каждого варианта?</w:t>
            </w:r>
          </w:p>
        </w:tc>
      </w:tr>
      <w:tr w:rsidR="00D33886" w14:paraId="40EC00AC" w14:textId="77777777">
        <w:trPr>
          <w:cantSplit/>
          <w:jc w:val="center"/>
        </w:trPr>
        <w:tc>
          <w:tcPr>
            <w:tcW w:w="3005" w:type="dxa"/>
            <w:tcMar>
              <w:top w:w="90" w:type="dxa"/>
              <w:left w:w="90" w:type="dxa"/>
              <w:bottom w:w="90" w:type="dxa"/>
              <w:right w:w="90" w:type="dxa"/>
            </w:tcMar>
            <w:vAlign w:val="center"/>
          </w:tcPr>
          <w:p w14:paraId="7D5699AE" w14:textId="77777777" w:rsidR="00D33886" w:rsidRDefault="00000000">
            <w:pPr>
              <w:pStyle w:val="TableText"/>
            </w:pPr>
            <w:r>
              <w:t>Сравнить альтернативы</w:t>
            </w:r>
          </w:p>
        </w:tc>
        <w:tc>
          <w:tcPr>
            <w:tcW w:w="6633" w:type="dxa"/>
            <w:tcMar>
              <w:top w:w="90" w:type="dxa"/>
              <w:left w:w="90" w:type="dxa"/>
              <w:bottom w:w="90" w:type="dxa"/>
              <w:right w:w="90" w:type="dxa"/>
            </w:tcMar>
            <w:vAlign w:val="center"/>
          </w:tcPr>
          <w:p w14:paraId="7E52935B" w14:textId="77777777" w:rsidR="00D33886" w:rsidRPr="00C16293" w:rsidRDefault="00000000">
            <w:pPr>
              <w:pStyle w:val="TableText"/>
              <w:rPr>
                <w:lang w:val="ru-RU"/>
              </w:rPr>
            </w:pPr>
            <w:r w:rsidRPr="00C16293">
              <w:rPr>
                <w:lang w:val="ru-RU"/>
              </w:rPr>
              <w:t>Можно ли достичь цели менее рискованным способом?</w:t>
            </w:r>
          </w:p>
        </w:tc>
      </w:tr>
      <w:tr w:rsidR="00D33886" w14:paraId="642516D8" w14:textId="77777777">
        <w:trPr>
          <w:cantSplit/>
          <w:jc w:val="center"/>
        </w:trPr>
        <w:tc>
          <w:tcPr>
            <w:tcW w:w="3005" w:type="dxa"/>
            <w:shd w:val="clear" w:color="auto" w:fill="EEF4F5"/>
            <w:tcMar>
              <w:top w:w="90" w:type="dxa"/>
              <w:left w:w="90" w:type="dxa"/>
              <w:bottom w:w="90" w:type="dxa"/>
              <w:right w:w="90" w:type="dxa"/>
            </w:tcMar>
            <w:vAlign w:val="center"/>
          </w:tcPr>
          <w:p w14:paraId="38E28EA4" w14:textId="77777777" w:rsidR="00D33886" w:rsidRDefault="00000000">
            <w:pPr>
              <w:pStyle w:val="TableText"/>
            </w:pPr>
            <w:r>
              <w:t>Зафиксировать решение</w:t>
            </w:r>
          </w:p>
        </w:tc>
        <w:tc>
          <w:tcPr>
            <w:tcW w:w="6633" w:type="dxa"/>
            <w:shd w:val="clear" w:color="auto" w:fill="EEF4F5"/>
            <w:tcMar>
              <w:top w:w="90" w:type="dxa"/>
              <w:left w:w="90" w:type="dxa"/>
              <w:bottom w:w="90" w:type="dxa"/>
              <w:right w:w="90" w:type="dxa"/>
            </w:tcMar>
            <w:vAlign w:val="center"/>
          </w:tcPr>
          <w:p w14:paraId="66870058" w14:textId="77777777" w:rsidR="00D33886" w:rsidRPr="00C16293" w:rsidRDefault="00000000">
            <w:pPr>
              <w:pStyle w:val="TableText"/>
              <w:rPr>
                <w:lang w:val="ru-RU"/>
              </w:rPr>
            </w:pPr>
            <w:r w:rsidRPr="00C16293">
              <w:rPr>
                <w:lang w:val="ru-RU"/>
              </w:rPr>
              <w:t>Кто уполномочен его принять и как будет проверено исполнение?</w:t>
            </w:r>
          </w:p>
        </w:tc>
      </w:tr>
    </w:tbl>
    <w:p w14:paraId="7DEA455D" w14:textId="77777777" w:rsidR="00D33886" w:rsidRDefault="00D33886">
      <w:pPr>
        <w:spacing w:after="40" w:line="240" w:lineRule="auto"/>
      </w:pPr>
    </w:p>
    <w:p w14:paraId="1F740C61" w14:textId="77777777" w:rsidR="00D33886" w:rsidRDefault="00000000">
      <w:r>
        <w:t>Законность и этическая приемлемость связаны, но не тождественны. В учебной работе нельзя объявлять действие законным на основании личного одобрения. Правовые вопросы выделяют для компетентной проверки, а обсуждение справедливости и последствий сохраняют отдельно.</w:t>
      </w:r>
    </w:p>
    <w:p w14:paraId="420BA800" w14:textId="77777777" w:rsidR="00D33886" w:rsidRDefault="00000000">
      <w:r>
        <w:rPr>
          <w:b/>
        </w:rPr>
        <w:t>Конфликт интересов</w:t>
      </w:r>
      <w:r>
        <w:t xml:space="preserve"> — ситуация, в которой личная заинтересованность способна повлиять на профессиональное решение. Само наличие родственных или деловых связей еще не доказывает злоупотребление, однако требует прозрачного раскрытия и подходящей процедуры рассмотрения. Полезнее заранее определить порядок, чем публично искать виновного после спорной закупки.</w:t>
      </w:r>
    </w:p>
    <w:p w14:paraId="5438DBC5" w14:textId="77777777" w:rsidR="00D33886" w:rsidRDefault="00000000">
      <w:r>
        <w:t>Уязвимость участника важна независимо от его влияния. Отсутствие жалоб временного работника, клиента с ограниченными возможностями или небольшого поставщика не доказывает отсутствие проблемы. Руководитель должен проверить, существует ли доступный и безопасный способ выразить затруднение.</w:t>
      </w:r>
    </w:p>
    <w:p w14:paraId="2453F141" w14:textId="77777777" w:rsidR="00D33886" w:rsidRDefault="00000000">
      <w:pPr>
        <w:pStyle w:val="1"/>
        <w:pageBreakBefore/>
      </w:pPr>
      <w:r>
        <w:lastRenderedPageBreak/>
        <w:t>3. От ценностей к управленческим механизмам</w:t>
      </w:r>
    </w:p>
    <w:p w14:paraId="435B188A" w14:textId="77777777" w:rsidR="00D33886" w:rsidRDefault="00000000">
      <w:r>
        <w:t>Ценность «уважение» приобретает рабочее содержание, когда ясно, какое поведение ожидается и куда обращаться при нарушении. Ценность «качество» — когда проверка включена в план, у нее есть ответственный и обнаруженный дефект влияет на выпуск. Без таких связей ценности остаются пожеланиями.</w:t>
      </w:r>
    </w:p>
    <w:p w14:paraId="18C93C61" w14:textId="77777777" w:rsidR="00D33886" w:rsidRDefault="00000000">
      <w:r>
        <w:t>Начните с перевода общего принципа в правило действия. Для точности данных это может быть требование указывать источник и исправлять ошибку с сохранением истории. Для конфиденциальности — ограничение доступа по рабочей необходимости. Для справедливого выбора поставщика — общие критерии и документирование исключений.</w:t>
      </w:r>
    </w:p>
    <w:tbl>
      <w:tblPr>
        <w:tblW w:w="0" w:type="auto"/>
        <w:jc w:val="center"/>
        <w:tblLayout w:type="fixed"/>
        <w:tblLook w:val="04A0" w:firstRow="1" w:lastRow="0" w:firstColumn="1" w:lastColumn="0" w:noHBand="0" w:noVBand="1"/>
      </w:tblPr>
      <w:tblGrid>
        <w:gridCol w:w="2268"/>
        <w:gridCol w:w="3515"/>
        <w:gridCol w:w="3855"/>
      </w:tblGrid>
      <w:tr w:rsidR="00D33886" w14:paraId="6AD93624" w14:textId="77777777">
        <w:trPr>
          <w:cantSplit/>
          <w:tblHeader/>
          <w:jc w:val="center"/>
        </w:trPr>
        <w:tc>
          <w:tcPr>
            <w:tcW w:w="2268" w:type="dxa"/>
            <w:shd w:val="clear" w:color="auto" w:fill="213C4B"/>
            <w:tcMar>
              <w:top w:w="90" w:type="dxa"/>
              <w:left w:w="90" w:type="dxa"/>
              <w:bottom w:w="90" w:type="dxa"/>
              <w:right w:w="90" w:type="dxa"/>
            </w:tcMar>
            <w:vAlign w:val="center"/>
          </w:tcPr>
          <w:p w14:paraId="7B1E0B55" w14:textId="77777777" w:rsidR="00D33886" w:rsidRDefault="00000000">
            <w:pPr>
              <w:pStyle w:val="TableText"/>
            </w:pPr>
            <w:r>
              <w:rPr>
                <w:b/>
                <w:color w:val="FFFFFF"/>
              </w:rPr>
              <w:t>Принцип</w:t>
            </w:r>
          </w:p>
        </w:tc>
        <w:tc>
          <w:tcPr>
            <w:tcW w:w="3515" w:type="dxa"/>
            <w:shd w:val="clear" w:color="auto" w:fill="213C4B"/>
            <w:tcMar>
              <w:top w:w="90" w:type="dxa"/>
              <w:left w:w="90" w:type="dxa"/>
              <w:bottom w:w="90" w:type="dxa"/>
              <w:right w:w="90" w:type="dxa"/>
            </w:tcMar>
            <w:vAlign w:val="center"/>
          </w:tcPr>
          <w:p w14:paraId="4AA5C1A0" w14:textId="77777777" w:rsidR="00D33886" w:rsidRDefault="00000000">
            <w:pPr>
              <w:pStyle w:val="TableText"/>
            </w:pPr>
            <w:r>
              <w:rPr>
                <w:b/>
                <w:color w:val="FFFFFF"/>
              </w:rPr>
              <w:t>Поведение</w:t>
            </w:r>
          </w:p>
        </w:tc>
        <w:tc>
          <w:tcPr>
            <w:tcW w:w="3855" w:type="dxa"/>
            <w:shd w:val="clear" w:color="auto" w:fill="213C4B"/>
            <w:tcMar>
              <w:top w:w="90" w:type="dxa"/>
              <w:left w:w="90" w:type="dxa"/>
              <w:bottom w:w="90" w:type="dxa"/>
              <w:right w:w="90" w:type="dxa"/>
            </w:tcMar>
            <w:vAlign w:val="center"/>
          </w:tcPr>
          <w:p w14:paraId="5401F9CE" w14:textId="77777777" w:rsidR="00D33886" w:rsidRDefault="00000000">
            <w:pPr>
              <w:pStyle w:val="TableText"/>
            </w:pPr>
            <w:r>
              <w:rPr>
                <w:b/>
                <w:color w:val="FFFFFF"/>
              </w:rPr>
              <w:t>Механизм поддержки</w:t>
            </w:r>
          </w:p>
        </w:tc>
      </w:tr>
      <w:tr w:rsidR="00D33886" w14:paraId="5C68AE86" w14:textId="77777777">
        <w:trPr>
          <w:cantSplit/>
          <w:jc w:val="center"/>
        </w:trPr>
        <w:tc>
          <w:tcPr>
            <w:tcW w:w="2268" w:type="dxa"/>
            <w:shd w:val="clear" w:color="auto" w:fill="EEF4F5"/>
            <w:tcMar>
              <w:top w:w="90" w:type="dxa"/>
              <w:left w:w="90" w:type="dxa"/>
              <w:bottom w:w="90" w:type="dxa"/>
              <w:right w:w="90" w:type="dxa"/>
            </w:tcMar>
            <w:vAlign w:val="center"/>
          </w:tcPr>
          <w:p w14:paraId="29FEE8E8" w14:textId="77777777" w:rsidR="00D33886" w:rsidRDefault="00000000">
            <w:pPr>
              <w:pStyle w:val="TableText"/>
            </w:pPr>
            <w:r>
              <w:t>Открытость проблем</w:t>
            </w:r>
          </w:p>
        </w:tc>
        <w:tc>
          <w:tcPr>
            <w:tcW w:w="3515" w:type="dxa"/>
            <w:shd w:val="clear" w:color="auto" w:fill="EEF4F5"/>
            <w:tcMar>
              <w:top w:w="90" w:type="dxa"/>
              <w:left w:w="90" w:type="dxa"/>
              <w:bottom w:w="90" w:type="dxa"/>
              <w:right w:w="90" w:type="dxa"/>
            </w:tcMar>
            <w:vAlign w:val="center"/>
          </w:tcPr>
          <w:p w14:paraId="3339E06D" w14:textId="77777777" w:rsidR="00D33886" w:rsidRDefault="00000000">
            <w:pPr>
              <w:pStyle w:val="TableText"/>
            </w:pPr>
            <w:r>
              <w:t>Сообщить о существенном дефекте</w:t>
            </w:r>
          </w:p>
        </w:tc>
        <w:tc>
          <w:tcPr>
            <w:tcW w:w="3855" w:type="dxa"/>
            <w:shd w:val="clear" w:color="auto" w:fill="EEF4F5"/>
            <w:tcMar>
              <w:top w:w="90" w:type="dxa"/>
              <w:left w:w="90" w:type="dxa"/>
              <w:bottom w:w="90" w:type="dxa"/>
              <w:right w:w="90" w:type="dxa"/>
            </w:tcMar>
            <w:vAlign w:val="center"/>
          </w:tcPr>
          <w:p w14:paraId="4E638EC3" w14:textId="77777777" w:rsidR="00D33886" w:rsidRPr="00C16293" w:rsidRDefault="00000000">
            <w:pPr>
              <w:pStyle w:val="TableText"/>
              <w:rPr>
                <w:lang w:val="ru-RU"/>
              </w:rPr>
            </w:pPr>
            <w:r w:rsidRPr="00C16293">
              <w:rPr>
                <w:lang w:val="ru-RU"/>
              </w:rPr>
              <w:t>Понятный канал и запрет ответного давления</w:t>
            </w:r>
          </w:p>
        </w:tc>
      </w:tr>
      <w:tr w:rsidR="00D33886" w14:paraId="6F65A589" w14:textId="77777777">
        <w:trPr>
          <w:cantSplit/>
          <w:jc w:val="center"/>
        </w:trPr>
        <w:tc>
          <w:tcPr>
            <w:tcW w:w="2268" w:type="dxa"/>
            <w:tcMar>
              <w:top w:w="90" w:type="dxa"/>
              <w:left w:w="90" w:type="dxa"/>
              <w:bottom w:w="90" w:type="dxa"/>
              <w:right w:w="90" w:type="dxa"/>
            </w:tcMar>
            <w:vAlign w:val="center"/>
          </w:tcPr>
          <w:p w14:paraId="36FC22CC" w14:textId="77777777" w:rsidR="00D33886" w:rsidRDefault="00000000">
            <w:pPr>
              <w:pStyle w:val="TableText"/>
            </w:pPr>
            <w:r>
              <w:t>Справедливость</w:t>
            </w:r>
          </w:p>
        </w:tc>
        <w:tc>
          <w:tcPr>
            <w:tcW w:w="3515" w:type="dxa"/>
            <w:tcMar>
              <w:top w:w="90" w:type="dxa"/>
              <w:left w:w="90" w:type="dxa"/>
              <w:bottom w:w="90" w:type="dxa"/>
              <w:right w:w="90" w:type="dxa"/>
            </w:tcMar>
            <w:vAlign w:val="center"/>
          </w:tcPr>
          <w:p w14:paraId="01CFB6F8" w14:textId="77777777" w:rsidR="00D33886" w:rsidRDefault="00000000">
            <w:pPr>
              <w:pStyle w:val="TableText"/>
            </w:pPr>
            <w:r>
              <w:t>Применять сопоставимые критерии</w:t>
            </w:r>
          </w:p>
        </w:tc>
        <w:tc>
          <w:tcPr>
            <w:tcW w:w="3855" w:type="dxa"/>
            <w:tcMar>
              <w:top w:w="90" w:type="dxa"/>
              <w:left w:w="90" w:type="dxa"/>
              <w:bottom w:w="90" w:type="dxa"/>
              <w:right w:w="90" w:type="dxa"/>
            </w:tcMar>
            <w:vAlign w:val="center"/>
          </w:tcPr>
          <w:p w14:paraId="18AAE6D1" w14:textId="77777777" w:rsidR="00D33886" w:rsidRPr="00C16293" w:rsidRDefault="00000000">
            <w:pPr>
              <w:pStyle w:val="TableText"/>
              <w:rPr>
                <w:lang w:val="ru-RU"/>
              </w:rPr>
            </w:pPr>
            <w:r w:rsidRPr="00C16293">
              <w:rPr>
                <w:lang w:val="ru-RU"/>
              </w:rPr>
              <w:t>Проверка решений и объяснение исключений</w:t>
            </w:r>
          </w:p>
        </w:tc>
      </w:tr>
      <w:tr w:rsidR="00D33886" w14:paraId="5FC64639" w14:textId="77777777">
        <w:trPr>
          <w:cantSplit/>
          <w:jc w:val="center"/>
        </w:trPr>
        <w:tc>
          <w:tcPr>
            <w:tcW w:w="2268" w:type="dxa"/>
            <w:shd w:val="clear" w:color="auto" w:fill="EEF4F5"/>
            <w:tcMar>
              <w:top w:w="90" w:type="dxa"/>
              <w:left w:w="90" w:type="dxa"/>
              <w:bottom w:w="90" w:type="dxa"/>
              <w:right w:w="90" w:type="dxa"/>
            </w:tcMar>
            <w:vAlign w:val="center"/>
          </w:tcPr>
          <w:p w14:paraId="298C5FCC" w14:textId="77777777" w:rsidR="00D33886" w:rsidRDefault="00000000">
            <w:pPr>
              <w:pStyle w:val="TableText"/>
            </w:pPr>
            <w:r>
              <w:t>Достоверность</w:t>
            </w:r>
          </w:p>
        </w:tc>
        <w:tc>
          <w:tcPr>
            <w:tcW w:w="3515" w:type="dxa"/>
            <w:shd w:val="clear" w:color="auto" w:fill="EEF4F5"/>
            <w:tcMar>
              <w:top w:w="90" w:type="dxa"/>
              <w:left w:w="90" w:type="dxa"/>
              <w:bottom w:w="90" w:type="dxa"/>
              <w:right w:w="90" w:type="dxa"/>
            </w:tcMar>
            <w:vAlign w:val="center"/>
          </w:tcPr>
          <w:p w14:paraId="0943E5A9" w14:textId="77777777" w:rsidR="00D33886" w:rsidRDefault="00000000">
            <w:pPr>
              <w:pStyle w:val="TableText"/>
            </w:pPr>
            <w:r>
              <w:t>Не обещать неподтвержденный результат</w:t>
            </w:r>
          </w:p>
        </w:tc>
        <w:tc>
          <w:tcPr>
            <w:tcW w:w="3855" w:type="dxa"/>
            <w:shd w:val="clear" w:color="auto" w:fill="EEF4F5"/>
            <w:tcMar>
              <w:top w:w="90" w:type="dxa"/>
              <w:left w:w="90" w:type="dxa"/>
              <w:bottom w:w="90" w:type="dxa"/>
              <w:right w:w="90" w:type="dxa"/>
            </w:tcMar>
            <w:vAlign w:val="center"/>
          </w:tcPr>
          <w:p w14:paraId="0CCE41FD" w14:textId="77777777" w:rsidR="00D33886" w:rsidRDefault="00000000">
            <w:pPr>
              <w:pStyle w:val="TableText"/>
            </w:pPr>
            <w:r>
              <w:t>Согласование существенных утверждений</w:t>
            </w:r>
          </w:p>
        </w:tc>
      </w:tr>
      <w:tr w:rsidR="00D33886" w14:paraId="6FCCBAF8" w14:textId="77777777">
        <w:trPr>
          <w:cantSplit/>
          <w:jc w:val="center"/>
        </w:trPr>
        <w:tc>
          <w:tcPr>
            <w:tcW w:w="2268" w:type="dxa"/>
            <w:tcMar>
              <w:top w:w="90" w:type="dxa"/>
              <w:left w:w="90" w:type="dxa"/>
              <w:bottom w:w="90" w:type="dxa"/>
              <w:right w:w="90" w:type="dxa"/>
            </w:tcMar>
            <w:vAlign w:val="center"/>
          </w:tcPr>
          <w:p w14:paraId="5480E534" w14:textId="77777777" w:rsidR="00D33886" w:rsidRDefault="00000000">
            <w:pPr>
              <w:pStyle w:val="TableText"/>
            </w:pPr>
            <w:r>
              <w:t>Ответственность</w:t>
            </w:r>
          </w:p>
        </w:tc>
        <w:tc>
          <w:tcPr>
            <w:tcW w:w="3515" w:type="dxa"/>
            <w:tcMar>
              <w:top w:w="90" w:type="dxa"/>
              <w:left w:w="90" w:type="dxa"/>
              <w:bottom w:w="90" w:type="dxa"/>
              <w:right w:w="90" w:type="dxa"/>
            </w:tcMar>
            <w:vAlign w:val="center"/>
          </w:tcPr>
          <w:p w14:paraId="6FE5D654" w14:textId="77777777" w:rsidR="00D33886" w:rsidRDefault="00000000">
            <w:pPr>
              <w:pStyle w:val="TableText"/>
            </w:pPr>
            <w:r>
              <w:t>Довести исправление до проверки</w:t>
            </w:r>
          </w:p>
        </w:tc>
        <w:tc>
          <w:tcPr>
            <w:tcW w:w="3855" w:type="dxa"/>
            <w:tcMar>
              <w:top w:w="90" w:type="dxa"/>
              <w:left w:w="90" w:type="dxa"/>
              <w:bottom w:w="90" w:type="dxa"/>
              <w:right w:w="90" w:type="dxa"/>
            </w:tcMar>
            <w:vAlign w:val="center"/>
          </w:tcPr>
          <w:p w14:paraId="5F5C3792" w14:textId="77777777" w:rsidR="00D33886" w:rsidRPr="00C16293" w:rsidRDefault="00000000">
            <w:pPr>
              <w:pStyle w:val="TableText"/>
              <w:rPr>
                <w:lang w:val="ru-RU"/>
              </w:rPr>
            </w:pPr>
            <w:r w:rsidRPr="00C16293">
              <w:rPr>
                <w:lang w:val="ru-RU"/>
              </w:rPr>
              <w:t>Владелец действия, срок и свидетельство</w:t>
            </w:r>
          </w:p>
        </w:tc>
      </w:tr>
    </w:tbl>
    <w:p w14:paraId="1C2DC19E" w14:textId="77777777" w:rsidR="00D33886" w:rsidRDefault="00D33886">
      <w:pPr>
        <w:spacing w:after="40" w:line="240" w:lineRule="auto"/>
      </w:pPr>
    </w:p>
    <w:p w14:paraId="22699840" w14:textId="77777777" w:rsidR="00D33886" w:rsidRDefault="00000000">
      <w:r>
        <w:t>Стимулы следует проверять на противоречия. Если премия зависит только от скорости, а за обнаружение ошибки человек теряет доход, просьба «сообщать честно» конкурирует с экономическим сигналом. Исправление требует не только обучения, но и пересмотра правил учета результата.</w:t>
      </w:r>
    </w:p>
    <w:p w14:paraId="48029E86" w14:textId="77777777" w:rsidR="00D33886" w:rsidRDefault="00000000">
      <w:r>
        <w:t>Канал сообщения о проблемах не равен автоматическому решению. Нужны подтверждение получения, проверка обстоятельств, ограничение распространения сведений и информирование о допустимом результате рассмотрения. Нельзя обещать абсолютную анонимность без понимания технических и организационных возможностей.</w:t>
      </w:r>
    </w:p>
    <w:p w14:paraId="27885B44" w14:textId="77777777" w:rsidR="00D33886" w:rsidRDefault="00000000">
      <w:r>
        <w:t>Руководитель показывает пример и реакцией на собственную ошибку. Признание факта, ясное исправление и изменение процесса полезнее неопределенного призыва быть внимательнее. При этом безобвинительное изучение причин не отменяет ответственности: умышленное нарушение и добросовестная ошибка требуют различения.</w:t>
      </w:r>
    </w:p>
    <w:p w14:paraId="3521F85A" w14:textId="77777777" w:rsidR="00D33886" w:rsidRDefault="00000000">
      <w:r>
        <w:t>Проверка культуры — не поиск процента «хороших сотрудников». Ее предметом становятся условия работы, повторяемые ситуации и возможность улучшения. Для учебного аудита достаточно двух-трех наблюдаемых норм и небольшого плана проверки их исполнения.</w:t>
      </w:r>
    </w:p>
    <w:p w14:paraId="73415475" w14:textId="77777777" w:rsidR="00D33886" w:rsidRDefault="00000000">
      <w:pPr>
        <w:pStyle w:val="1"/>
        <w:pageBreakBefore/>
      </w:pPr>
      <w:r>
        <w:lastRenderedPageBreak/>
        <w:t>4. Реальный пример: требования IWAY в цепочке поставок</w:t>
      </w:r>
    </w:p>
    <w:p w14:paraId="2C51FC73" w14:textId="77777777" w:rsidR="00D33886" w:rsidRDefault="00000000">
      <w:r>
        <w:t>IKEA описывает IWAY как систему требований к поставщикам, введенную в 2000 году. Она затрагивает социальные и экологические условия, включая условия труда. Компания связывает применение требований с оценкой рисков, взаимодействием с поставщиками, проверками и корректирующими действиями [3; 4]. Это описание собственной системы, а не независимое подтверждение соблюдения всех правил каждым участником.</w:t>
      </w:r>
    </w:p>
    <w:p w14:paraId="604E89A3" w14:textId="77777777" w:rsidR="00D33886" w:rsidRDefault="00000000">
      <w:r>
        <w:t>Для темы менеджмента важна цепочка «принцип — договоренность — наблюдение — исправление». Обязательство должно влиять на выбор контрагента и дальнейшее сотрудничество. Размещение кодекса на сайте не показывает, как организация действует при выявленном несоответствии.</w:t>
      </w:r>
    </w:p>
    <w:tbl>
      <w:tblPr>
        <w:tblW w:w="0" w:type="auto"/>
        <w:jc w:val="center"/>
        <w:tblLayout w:type="fixed"/>
        <w:tblLook w:val="04A0" w:firstRow="1" w:lastRow="0" w:firstColumn="1" w:lastColumn="0" w:noHBand="0" w:noVBand="1"/>
      </w:tblPr>
      <w:tblGrid>
        <w:gridCol w:w="3005"/>
        <w:gridCol w:w="6633"/>
      </w:tblGrid>
      <w:tr w:rsidR="00D33886" w14:paraId="23CF92CE" w14:textId="77777777">
        <w:trPr>
          <w:cantSplit/>
          <w:tblHeader/>
          <w:jc w:val="center"/>
        </w:trPr>
        <w:tc>
          <w:tcPr>
            <w:tcW w:w="3005" w:type="dxa"/>
            <w:shd w:val="clear" w:color="auto" w:fill="213C4B"/>
            <w:tcMar>
              <w:top w:w="90" w:type="dxa"/>
              <w:left w:w="90" w:type="dxa"/>
              <w:bottom w:w="90" w:type="dxa"/>
              <w:right w:w="90" w:type="dxa"/>
            </w:tcMar>
            <w:vAlign w:val="center"/>
          </w:tcPr>
          <w:p w14:paraId="40032574" w14:textId="77777777" w:rsidR="00D33886" w:rsidRDefault="00000000">
            <w:pPr>
              <w:pStyle w:val="TableText"/>
            </w:pPr>
            <w:r>
              <w:rPr>
                <w:b/>
                <w:color w:val="FFFFFF"/>
              </w:rPr>
              <w:t>Элемент системы</w:t>
            </w:r>
          </w:p>
        </w:tc>
        <w:tc>
          <w:tcPr>
            <w:tcW w:w="6633" w:type="dxa"/>
            <w:shd w:val="clear" w:color="auto" w:fill="213C4B"/>
            <w:tcMar>
              <w:top w:w="90" w:type="dxa"/>
              <w:left w:w="90" w:type="dxa"/>
              <w:bottom w:w="90" w:type="dxa"/>
              <w:right w:w="90" w:type="dxa"/>
            </w:tcMar>
            <w:vAlign w:val="center"/>
          </w:tcPr>
          <w:p w14:paraId="53C0BAEA" w14:textId="77777777" w:rsidR="00D33886" w:rsidRPr="00C16293" w:rsidRDefault="00000000">
            <w:pPr>
              <w:pStyle w:val="TableText"/>
              <w:rPr>
                <w:lang w:val="ru-RU"/>
              </w:rPr>
            </w:pPr>
            <w:r w:rsidRPr="00C16293">
              <w:rPr>
                <w:b/>
                <w:color w:val="FFFFFF"/>
                <w:lang w:val="ru-RU"/>
              </w:rPr>
              <w:t>Вопрос при переносе в небольшую организацию</w:t>
            </w:r>
          </w:p>
        </w:tc>
      </w:tr>
      <w:tr w:rsidR="00D33886" w14:paraId="7BF6FF65" w14:textId="77777777">
        <w:trPr>
          <w:cantSplit/>
          <w:jc w:val="center"/>
        </w:trPr>
        <w:tc>
          <w:tcPr>
            <w:tcW w:w="3005" w:type="dxa"/>
            <w:shd w:val="clear" w:color="auto" w:fill="EEF4F5"/>
            <w:tcMar>
              <w:top w:w="90" w:type="dxa"/>
              <w:left w:w="90" w:type="dxa"/>
              <w:bottom w:w="90" w:type="dxa"/>
              <w:right w:w="90" w:type="dxa"/>
            </w:tcMar>
            <w:vAlign w:val="center"/>
          </w:tcPr>
          <w:p w14:paraId="6D3F9C9C" w14:textId="77777777" w:rsidR="00D33886" w:rsidRDefault="00000000">
            <w:pPr>
              <w:pStyle w:val="TableText"/>
            </w:pPr>
            <w:r>
              <w:t>Требования</w:t>
            </w:r>
          </w:p>
        </w:tc>
        <w:tc>
          <w:tcPr>
            <w:tcW w:w="6633" w:type="dxa"/>
            <w:shd w:val="clear" w:color="auto" w:fill="EEF4F5"/>
            <w:tcMar>
              <w:top w:w="90" w:type="dxa"/>
              <w:left w:w="90" w:type="dxa"/>
              <w:bottom w:w="90" w:type="dxa"/>
              <w:right w:w="90" w:type="dxa"/>
            </w:tcMar>
            <w:vAlign w:val="center"/>
          </w:tcPr>
          <w:p w14:paraId="3C67FA38" w14:textId="77777777" w:rsidR="00D33886" w:rsidRPr="00C16293" w:rsidRDefault="00000000">
            <w:pPr>
              <w:pStyle w:val="TableText"/>
              <w:rPr>
                <w:lang w:val="ru-RU"/>
              </w:rPr>
            </w:pPr>
            <w:r w:rsidRPr="00C16293">
              <w:rPr>
                <w:lang w:val="ru-RU"/>
              </w:rPr>
              <w:t>Какие условия действительно существенны для нашей деятельности?</w:t>
            </w:r>
          </w:p>
        </w:tc>
      </w:tr>
      <w:tr w:rsidR="00D33886" w14:paraId="6EA1D6D6" w14:textId="77777777">
        <w:trPr>
          <w:cantSplit/>
          <w:jc w:val="center"/>
        </w:trPr>
        <w:tc>
          <w:tcPr>
            <w:tcW w:w="3005" w:type="dxa"/>
            <w:tcMar>
              <w:top w:w="90" w:type="dxa"/>
              <w:left w:w="90" w:type="dxa"/>
              <w:bottom w:w="90" w:type="dxa"/>
              <w:right w:w="90" w:type="dxa"/>
            </w:tcMar>
            <w:vAlign w:val="center"/>
          </w:tcPr>
          <w:p w14:paraId="4DB0C9B7" w14:textId="77777777" w:rsidR="00D33886" w:rsidRDefault="00000000">
            <w:pPr>
              <w:pStyle w:val="TableText"/>
            </w:pPr>
            <w:r>
              <w:t>Оценка риска</w:t>
            </w:r>
          </w:p>
        </w:tc>
        <w:tc>
          <w:tcPr>
            <w:tcW w:w="6633" w:type="dxa"/>
            <w:tcMar>
              <w:top w:w="90" w:type="dxa"/>
              <w:left w:w="90" w:type="dxa"/>
              <w:bottom w:w="90" w:type="dxa"/>
              <w:right w:w="90" w:type="dxa"/>
            </w:tcMar>
            <w:vAlign w:val="center"/>
          </w:tcPr>
          <w:p w14:paraId="12374D6C" w14:textId="77777777" w:rsidR="00D33886" w:rsidRPr="00C16293" w:rsidRDefault="00000000">
            <w:pPr>
              <w:pStyle w:val="TableText"/>
              <w:rPr>
                <w:lang w:val="ru-RU"/>
              </w:rPr>
            </w:pPr>
            <w:r w:rsidRPr="00C16293">
              <w:rPr>
                <w:lang w:val="ru-RU"/>
              </w:rPr>
              <w:t>Где вероятнее серьезные последствия и почему?</w:t>
            </w:r>
          </w:p>
        </w:tc>
      </w:tr>
      <w:tr w:rsidR="00D33886" w14:paraId="3BA138D9" w14:textId="77777777">
        <w:trPr>
          <w:cantSplit/>
          <w:jc w:val="center"/>
        </w:trPr>
        <w:tc>
          <w:tcPr>
            <w:tcW w:w="3005" w:type="dxa"/>
            <w:shd w:val="clear" w:color="auto" w:fill="EEF4F5"/>
            <w:tcMar>
              <w:top w:w="90" w:type="dxa"/>
              <w:left w:w="90" w:type="dxa"/>
              <w:bottom w:w="90" w:type="dxa"/>
              <w:right w:w="90" w:type="dxa"/>
            </w:tcMar>
            <w:vAlign w:val="center"/>
          </w:tcPr>
          <w:p w14:paraId="51BBCF32" w14:textId="77777777" w:rsidR="00D33886" w:rsidRDefault="00000000">
            <w:pPr>
              <w:pStyle w:val="TableText"/>
            </w:pPr>
            <w:r>
              <w:t>Проверка</w:t>
            </w:r>
          </w:p>
        </w:tc>
        <w:tc>
          <w:tcPr>
            <w:tcW w:w="6633" w:type="dxa"/>
            <w:shd w:val="clear" w:color="auto" w:fill="EEF4F5"/>
            <w:tcMar>
              <w:top w:w="90" w:type="dxa"/>
              <w:left w:w="90" w:type="dxa"/>
              <w:bottom w:w="90" w:type="dxa"/>
              <w:right w:w="90" w:type="dxa"/>
            </w:tcMar>
            <w:vAlign w:val="center"/>
          </w:tcPr>
          <w:p w14:paraId="2D0889F5" w14:textId="77777777" w:rsidR="00D33886" w:rsidRPr="00C16293" w:rsidRDefault="00000000">
            <w:pPr>
              <w:pStyle w:val="TableText"/>
              <w:rPr>
                <w:lang w:val="ru-RU"/>
              </w:rPr>
            </w:pPr>
            <w:r w:rsidRPr="00C16293">
              <w:rPr>
                <w:lang w:val="ru-RU"/>
              </w:rPr>
              <w:t>Какие сведения и наблюдения подтвердят исполнение?</w:t>
            </w:r>
          </w:p>
        </w:tc>
      </w:tr>
      <w:tr w:rsidR="00D33886" w14:paraId="700F6A58" w14:textId="77777777">
        <w:trPr>
          <w:cantSplit/>
          <w:jc w:val="center"/>
        </w:trPr>
        <w:tc>
          <w:tcPr>
            <w:tcW w:w="3005" w:type="dxa"/>
            <w:tcMar>
              <w:top w:w="90" w:type="dxa"/>
              <w:left w:w="90" w:type="dxa"/>
              <w:bottom w:w="90" w:type="dxa"/>
              <w:right w:w="90" w:type="dxa"/>
            </w:tcMar>
            <w:vAlign w:val="center"/>
          </w:tcPr>
          <w:p w14:paraId="330EA331" w14:textId="77777777" w:rsidR="00D33886" w:rsidRDefault="00000000">
            <w:pPr>
              <w:pStyle w:val="TableText"/>
            </w:pPr>
            <w:r>
              <w:t>Поддержка улучшения</w:t>
            </w:r>
          </w:p>
        </w:tc>
        <w:tc>
          <w:tcPr>
            <w:tcW w:w="6633" w:type="dxa"/>
            <w:tcMar>
              <w:top w:w="90" w:type="dxa"/>
              <w:left w:w="90" w:type="dxa"/>
              <w:bottom w:w="90" w:type="dxa"/>
              <w:right w:w="90" w:type="dxa"/>
            </w:tcMar>
            <w:vAlign w:val="center"/>
          </w:tcPr>
          <w:p w14:paraId="539757C8" w14:textId="77777777" w:rsidR="00D33886" w:rsidRPr="00C16293" w:rsidRDefault="00000000">
            <w:pPr>
              <w:pStyle w:val="TableText"/>
              <w:rPr>
                <w:lang w:val="ru-RU"/>
              </w:rPr>
            </w:pPr>
            <w:r w:rsidRPr="00C16293">
              <w:rPr>
                <w:lang w:val="ru-RU"/>
              </w:rPr>
              <w:t>Что поставщик может исправить и в какой срок?</w:t>
            </w:r>
          </w:p>
        </w:tc>
      </w:tr>
      <w:tr w:rsidR="00D33886" w14:paraId="3D2D6E91" w14:textId="77777777">
        <w:trPr>
          <w:cantSplit/>
          <w:jc w:val="center"/>
        </w:trPr>
        <w:tc>
          <w:tcPr>
            <w:tcW w:w="3005" w:type="dxa"/>
            <w:shd w:val="clear" w:color="auto" w:fill="EEF4F5"/>
            <w:tcMar>
              <w:top w:w="90" w:type="dxa"/>
              <w:left w:w="90" w:type="dxa"/>
              <w:bottom w:w="90" w:type="dxa"/>
              <w:right w:w="90" w:type="dxa"/>
            </w:tcMar>
            <w:vAlign w:val="center"/>
          </w:tcPr>
          <w:p w14:paraId="1A6FB83E" w14:textId="77777777" w:rsidR="00D33886" w:rsidRDefault="00000000">
            <w:pPr>
              <w:pStyle w:val="TableText"/>
            </w:pPr>
            <w:r>
              <w:t>Решение о сотрудничестве</w:t>
            </w:r>
          </w:p>
        </w:tc>
        <w:tc>
          <w:tcPr>
            <w:tcW w:w="6633" w:type="dxa"/>
            <w:shd w:val="clear" w:color="auto" w:fill="EEF4F5"/>
            <w:tcMar>
              <w:top w:w="90" w:type="dxa"/>
              <w:left w:w="90" w:type="dxa"/>
              <w:bottom w:w="90" w:type="dxa"/>
              <w:right w:w="90" w:type="dxa"/>
            </w:tcMar>
            <w:vAlign w:val="center"/>
          </w:tcPr>
          <w:p w14:paraId="4AFBE92E" w14:textId="77777777" w:rsidR="00D33886" w:rsidRPr="00C16293" w:rsidRDefault="00000000">
            <w:pPr>
              <w:pStyle w:val="TableText"/>
              <w:rPr>
                <w:lang w:val="ru-RU"/>
              </w:rPr>
            </w:pPr>
            <w:r w:rsidRPr="00C16293">
              <w:rPr>
                <w:lang w:val="ru-RU"/>
              </w:rPr>
              <w:t>Какие нарушения исключают продолжение без устранения?</w:t>
            </w:r>
          </w:p>
        </w:tc>
      </w:tr>
    </w:tbl>
    <w:p w14:paraId="12F776E3" w14:textId="77777777" w:rsidR="00D33886" w:rsidRDefault="00D33886">
      <w:pPr>
        <w:spacing w:after="40" w:line="240" w:lineRule="auto"/>
      </w:pPr>
    </w:p>
    <w:p w14:paraId="3A989D82" w14:textId="77777777" w:rsidR="00D33886" w:rsidRDefault="00000000">
      <w:r>
        <w:t>Учебная интерпретация: социальная ответственность становится управляемой, когда встроена в закупки, распределение ролей и контроль. Но копировать объем процедур крупной международной компании в студенческий проект не требуется. Масштаб проверки должен соответствовать характеру риска и доступным полномочиям.</w:t>
      </w:r>
    </w:p>
    <w:p w14:paraId="0BDF632A" w14:textId="77777777" w:rsidR="00D33886" w:rsidRDefault="00000000">
      <w:r>
        <w:t>Снижение числа обнаруженных нарушений неоднозначно. Оно может означать улучшение, а может — уменьшение охвата проверки. Поэтому число выявлений сопоставляют с количеством и глубиной проверенных объектов, выполнением исправлений и повторяемостью проблем.</w:t>
      </w:r>
    </w:p>
    <w:p w14:paraId="13EBFB0E" w14:textId="77777777" w:rsidR="00D33886" w:rsidRDefault="00000000">
      <w:r>
        <w:t>В отчете нужно различать сведения компании, независимые свидетельства и собственные предположения. По одному официальному описанию нельзя заключать, что ответственная закупка гарантированно повысила прибыль или полностью устранила риск. Переносимым результатом кейса служит структура вопросов и процедур, а не обещание универсального эффекта.</w:t>
      </w:r>
    </w:p>
    <w:p w14:paraId="5F0B15C9" w14:textId="77777777" w:rsidR="00D33886" w:rsidRDefault="00000000">
      <w:pPr>
        <w:pStyle w:val="1"/>
        <w:pageBreakBefore/>
      </w:pPr>
      <w:r>
        <w:lastRenderedPageBreak/>
        <w:t>5. Учебная ситуация: более дешевый поставщик</w:t>
      </w:r>
    </w:p>
    <w:p w14:paraId="474FA7B8" w14:textId="77777777" w:rsidR="00D33886" w:rsidRDefault="00000000">
      <w:r>
        <w:t>«СервисПлюс» выбирает поставщика упаковки. Первый предоставляет сведения о материалах и порядок рассмотрения претензий. Второй предлагает цену на 10% ниже, но пока не передал документы о происхождении и условиях производства. Сотрудник закупок знаком с его руководителем. Все обстоятельства вымышлены.</w:t>
      </w:r>
    </w:p>
    <w:p w14:paraId="55E226AB" w14:textId="77777777" w:rsidR="00D33886" w:rsidRDefault="00000000">
      <w:r>
        <w:t>Необходимо отделить недостаток сведений от доказанного нарушения. Отсутствие документа не позволяет объявить поставщика недобросовестным, однако может препятствовать обоснованному заключению договора. Знакомство также требует раскрытия, но не заменяет оценки предложения по общим критериям.</w:t>
      </w:r>
    </w:p>
    <w:p w14:paraId="5FF24C61" w14:textId="77777777" w:rsidR="00D33886" w:rsidRDefault="00000000">
      <w:r>
        <w:t>Руководитель сначала определяет обязательные условия и срок получения подтверждений. Затем сравнивает допустимые варианты: запросить сведения и отложить решение, ограничить закупку после проверки существенных требований либо выбрать другого поставщика. Экономия не должна компенсировать невыполнение обязательного условия.</w:t>
      </w:r>
    </w:p>
    <w:p w14:paraId="6D691268" w14:textId="77777777" w:rsidR="00D33886" w:rsidRDefault="00000000">
      <w:pPr>
        <w:pStyle w:val="21"/>
      </w:pPr>
      <w:r>
        <w:t>Карточка решения</w:t>
      </w:r>
    </w:p>
    <w:p w14:paraId="72F41292" w14:textId="77777777" w:rsidR="00D33886" w:rsidRDefault="00000000">
      <w:r>
        <w:t>В карточке фиксируют предмет закупки, сравниваемые варианты, подтвержденные данные, неизвестное, личную заинтересованность участников, обязательные критерии и уполномоченного согласующего. Отдельно указывают условие, при котором договор не заключается или исполнение приостанавливается.</w:t>
      </w:r>
    </w:p>
    <w:p w14:paraId="18794F5F" w14:textId="77777777" w:rsidR="00D33886" w:rsidRDefault="00000000">
      <w:r>
        <w:t>Предположим, условная стоимость партии составляет 100 000 тг, а более дешевый вариант — 90 000 тг. Разница 10 000 тг является экономией закупочной цены, но не доказанной общей выгодой. В нее еще не включены проверка, возможная замена, доставка и последствия несоответствия.</w:t>
      </w:r>
    </w:p>
    <w:p w14:paraId="00E6AB62" w14:textId="77777777" w:rsidR="00D33886" w:rsidRDefault="00000000">
      <w:r>
        <w:t>Одна из возможных мер — поручить оценку участнику без личной заинтересованности и заранее опубликовать внутренние критерии выбора. Это не гарантирует правильного результата, но делает процедуру проверяемой и уменьшает зависимость от неформального влияния.</w:t>
      </w:r>
    </w:p>
    <w:p w14:paraId="2C498719" w14:textId="77777777" w:rsidR="00D33886" w:rsidRDefault="00000000">
      <w:r>
        <w:t>После поставки нужны приемка, запись претензий и проверка исполнения корректировок. Этическое решение не заканчивается выбором контрагента: оно продолжается в том, как организация выполняет собственные обязательства, оплачивает работу и сообщает о выявленных проблемах.</w:t>
      </w:r>
    </w:p>
    <w:p w14:paraId="1BD0A247" w14:textId="77777777" w:rsidR="00D33886" w:rsidRDefault="00000000">
      <w:pPr>
        <w:pStyle w:val="1"/>
        <w:pageBreakBefore/>
      </w:pPr>
      <w:r>
        <w:lastRenderedPageBreak/>
        <w:t>Самопроверка и самостоятельная работа</w:t>
      </w:r>
    </w:p>
    <w:p w14:paraId="2DEE34C1" w14:textId="77777777" w:rsidR="00D33886" w:rsidRPr="00C16293" w:rsidRDefault="00000000">
      <w:pPr>
        <w:pStyle w:val="Small"/>
        <w:rPr>
          <w:lang w:val="ru-RU"/>
        </w:rPr>
      </w:pPr>
      <w:r w:rsidRPr="00C16293">
        <w:rPr>
          <w:lang w:val="ru-RU"/>
        </w:rPr>
        <w:t>Сначала сформулируйте ответ самостоятельно, затем сопоставьте его с ориентиром. Допустимы другие примеры при сохранении корректной логики.</w:t>
      </w:r>
    </w:p>
    <w:p w14:paraId="266A9FBA" w14:textId="77777777" w:rsidR="00D33886" w:rsidRDefault="00000000">
      <w:r>
        <w:rPr>
          <w:b/>
        </w:rPr>
        <w:t>1. Можно ли описать культуру по списку ценностей?</w:t>
      </w:r>
      <w:r>
        <w:t xml:space="preserve"> Нет. Нужны наблюдения за решениями, поощрениями, взаимодействием и реакцией на нарушения.</w:t>
      </w:r>
    </w:p>
    <w:p w14:paraId="637E68F7" w14:textId="77777777" w:rsidR="00D33886" w:rsidRDefault="00000000">
      <w:r>
        <w:rPr>
          <w:b/>
        </w:rPr>
        <w:t>2. Сильная культура всегда полезна?</w:t>
      </w:r>
      <w:r>
        <w:t xml:space="preserve"> Нет. Распространенная норма может поддерживать как качество, так и сокрытие ошибок.</w:t>
      </w:r>
    </w:p>
    <w:p w14:paraId="038DAB61" w14:textId="77777777" w:rsidR="00D33886" w:rsidRDefault="00000000">
      <w:r>
        <w:rPr>
          <w:b/>
        </w:rPr>
        <w:t>3. Отсутствие жалоб доказывает отсутствие нарушений?</w:t>
      </w:r>
      <w:r>
        <w:t xml:space="preserve"> Нет: следует проверить доступность канала, возможность сообщить и последствия обращения.</w:t>
      </w:r>
    </w:p>
    <w:p w14:paraId="6CF469B9" w14:textId="77777777" w:rsidR="00D33886" w:rsidRDefault="00000000">
      <w:r>
        <w:rPr>
          <w:b/>
        </w:rPr>
        <w:t>4. Почему личную заинтересованность раскрывают заранее?</w:t>
      </w:r>
      <w:r>
        <w:t xml:space="preserve"> Чтобы выбрать независимый порядок рассмотрения и не подменять общие критерии скрытым влиянием.</w:t>
      </w:r>
    </w:p>
    <w:p w14:paraId="7788D4F7" w14:textId="77777777" w:rsidR="00D33886" w:rsidRDefault="00000000">
      <w:r>
        <w:rPr>
          <w:b/>
        </w:rPr>
        <w:t>5. Что подтверждает официальное описание IWAY?</w:t>
      </w:r>
      <w:r>
        <w:t xml:space="preserve"> Оно показывает заявленные элементы системы. Фактическое исполнение и эффекты требуют дополнительных свидетельств.</w:t>
      </w:r>
    </w:p>
    <w:p w14:paraId="542F5250" w14:textId="5D034AB0" w:rsidR="00D33886" w:rsidRPr="00C16293" w:rsidRDefault="00D33886">
      <w:pPr>
        <w:pStyle w:val="Small"/>
        <w:rPr>
          <w:lang w:val="ru-RU"/>
        </w:rPr>
      </w:pPr>
    </w:p>
    <w:sectPr w:rsidR="00D33886" w:rsidRPr="00C16293" w:rsidSect="00034616">
      <w:headerReference w:type="default" r:id="rId8"/>
      <w:footerReference w:type="default" r:id="rId9"/>
      <w:pgSz w:w="11906" w:h="16838"/>
      <w:pgMar w:top="1020" w:right="1134" w:bottom="1020" w:left="1134"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DF3BE" w14:textId="77777777" w:rsidR="00871179" w:rsidRDefault="00871179">
      <w:pPr>
        <w:spacing w:after="0" w:line="240" w:lineRule="auto"/>
      </w:pPr>
      <w:r>
        <w:separator/>
      </w:r>
    </w:p>
  </w:endnote>
  <w:endnote w:type="continuationSeparator" w:id="0">
    <w:p w14:paraId="65A862C2" w14:textId="77777777" w:rsidR="00871179" w:rsidRDefault="00871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14AB4" w14:textId="28699E08" w:rsidR="00D33886" w:rsidRDefault="00D33886">
    <w:pPr>
      <w:pStyle w:val="Small"/>
      <w:tabs>
        <w:tab w:val="left" w:pos="830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CE3F5" w14:textId="77777777" w:rsidR="00871179" w:rsidRDefault="00871179">
      <w:pPr>
        <w:spacing w:after="0" w:line="240" w:lineRule="auto"/>
      </w:pPr>
      <w:r>
        <w:separator/>
      </w:r>
    </w:p>
  </w:footnote>
  <w:footnote w:type="continuationSeparator" w:id="0">
    <w:p w14:paraId="01C2AD95" w14:textId="77777777" w:rsidR="00871179" w:rsidRDefault="008711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3A92C" w14:textId="014E002E" w:rsidR="00D33886" w:rsidRDefault="00D33886">
    <w:pPr>
      <w:pStyle w:val="Small"/>
      <w:pBdr>
        <w:bottom w:val="single" w:sz="4" w:space="0" w:color="BFCED2"/>
      </w:pBd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758210286">
    <w:abstractNumId w:val="8"/>
  </w:num>
  <w:num w:numId="2" w16cid:durableId="632562419">
    <w:abstractNumId w:val="6"/>
  </w:num>
  <w:num w:numId="3" w16cid:durableId="1769152284">
    <w:abstractNumId w:val="5"/>
  </w:num>
  <w:num w:numId="4" w16cid:durableId="551386544">
    <w:abstractNumId w:val="4"/>
  </w:num>
  <w:num w:numId="5" w16cid:durableId="619608099">
    <w:abstractNumId w:val="7"/>
  </w:num>
  <w:num w:numId="6" w16cid:durableId="1293823227">
    <w:abstractNumId w:val="3"/>
  </w:num>
  <w:num w:numId="7" w16cid:durableId="483013810">
    <w:abstractNumId w:val="2"/>
  </w:num>
  <w:num w:numId="8" w16cid:durableId="533887269">
    <w:abstractNumId w:val="1"/>
  </w:num>
  <w:num w:numId="9" w16cid:durableId="754595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509B"/>
    <w:rsid w:val="0029639D"/>
    <w:rsid w:val="00326F90"/>
    <w:rsid w:val="00871179"/>
    <w:rsid w:val="00AA1D8D"/>
    <w:rsid w:val="00B47730"/>
    <w:rsid w:val="00C16293"/>
    <w:rsid w:val="00CB0664"/>
    <w:rsid w:val="00D3388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13F597"/>
  <w14:defaultImageDpi w14:val="300"/>
  <w15:docId w15:val="{56972007-BFC6-41BD-A9BD-B54B47D7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40" w:line="271" w:lineRule="auto"/>
    </w:pPr>
    <w:rPr>
      <w:rFonts w:ascii="Times New Roman" w:eastAsia="Times New Roman" w:hAnsi="Times New Roman" w:cs="Times New Roman"/>
      <w:sz w:val="26"/>
      <w:lang w:val="ru-RU"/>
    </w:rPr>
  </w:style>
  <w:style w:type="paragraph" w:styleId="1">
    <w:name w:val="heading 1"/>
    <w:basedOn w:val="a1"/>
    <w:next w:val="a1"/>
    <w:link w:val="10"/>
    <w:uiPriority w:val="9"/>
    <w:qFormat/>
    <w:rsid w:val="00FC693F"/>
    <w:pPr>
      <w:keepNext/>
      <w:keepLines/>
      <w:spacing w:before="160" w:after="180"/>
      <w:outlineLvl w:val="0"/>
    </w:pPr>
    <w:rPr>
      <w:rFonts w:asciiTheme="majorHAnsi" w:eastAsiaTheme="majorEastAsia" w:hAnsiTheme="majorHAnsi" w:cstheme="majorBidi"/>
      <w:b/>
      <w:bCs/>
      <w:color w:val="213C4B"/>
      <w:sz w:val="30"/>
      <w:szCs w:val="28"/>
    </w:rPr>
  </w:style>
  <w:style w:type="paragraph" w:styleId="21">
    <w:name w:val="heading 2"/>
    <w:basedOn w:val="a1"/>
    <w:next w:val="a1"/>
    <w:link w:val="22"/>
    <w:uiPriority w:val="9"/>
    <w:unhideWhenUsed/>
    <w:qFormat/>
    <w:rsid w:val="00FC693F"/>
    <w:pPr>
      <w:keepNext/>
      <w:keepLines/>
      <w:spacing w:before="160" w:after="180"/>
      <w:outlineLvl w:val="1"/>
    </w:pPr>
    <w:rPr>
      <w:rFonts w:asciiTheme="majorHAnsi" w:eastAsiaTheme="majorEastAsia" w:hAnsiTheme="majorHAnsi" w:cstheme="majorBidi"/>
      <w:b/>
      <w:bCs/>
      <w:color w:val="28747A"/>
      <w:sz w:val="25"/>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180" w:line="240" w:lineRule="auto"/>
      <w:contextualSpacing/>
    </w:pPr>
    <w:rPr>
      <w:rFonts w:asciiTheme="majorHAnsi" w:eastAsiaTheme="majorEastAsia" w:hAnsiTheme="majorHAnsi" w:cstheme="majorBidi"/>
      <w:b/>
      <w:color w:val="213C4B"/>
      <w:spacing w:val="5"/>
      <w:kern w:val="28"/>
      <w:sz w:val="40"/>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rPr>
      <w:sz w:val="24"/>
    </w:r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eastAsia="Courier" w:hAnsi="Courier" w:cs="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120" w:line="259" w:lineRule="auto"/>
    </w:pPr>
    <w:rPr>
      <w:rFonts w:ascii="Arial" w:eastAsia="Arial" w:hAnsi="Arial" w:cs="Arial"/>
      <w:color w:val="5D6870"/>
      <w:sz w:val="19"/>
    </w:rPr>
  </w:style>
  <w:style w:type="paragraph" w:customStyle="1" w:styleId="TableText">
    <w:name w:val="Table Text"/>
    <w:pPr>
      <w:spacing w:after="40" w:line="259" w:lineRule="auto"/>
    </w:pPr>
    <w:rPr>
      <w:rFonts w:ascii="Arial" w:eastAsia="Arial" w:hAnsi="Arial" w:cs="Arial"/>
      <w:sz w:val="20"/>
    </w:rPr>
  </w:style>
  <w:style w:type="paragraph" w:customStyle="1" w:styleId="Callout">
    <w:name w:val="Callout"/>
    <w:pPr>
      <w:spacing w:before="120" w:after="160" w:line="259" w:lineRule="auto"/>
      <w:ind w:left="142" w:right="113"/>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1687</Words>
  <Characters>9617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Организационная культура, этика и социальная ответственность</dc:title>
  <dc:subject>Лекционный материал курса «Основы менеджмента»</dc:subject>
  <dc:creator>Учебные материалы</dc:creator>
  <cp:keywords>менеджмент, бакалавриат, дистанционное обучение</cp:keywords>
  <dc:description>generated by python-docx</dc:description>
  <cp:lastModifiedBy>Mikhail Sizov</cp:lastModifiedBy>
  <cp:revision>3</cp:revision>
  <dcterms:created xsi:type="dcterms:W3CDTF">2013-12-23T23:15:00Z</dcterms:created>
  <dcterms:modified xsi:type="dcterms:W3CDTF">2026-10-06T13:40:00Z</dcterms:modified>
  <cp:category/>
  <dc:language>ru-RU</dc:language>
</cp:coreProperties>
</file>