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Тема 10</w:t>
        <w:br/>
        <w:t>Оплата труда работников</w:t>
      </w:r>
    </w:p>
    <w:p>
      <w:pPr>
        <w:jc w:val="center"/>
      </w:pPr>
      <w:r>
        <w:rPr>
          <w:b/>
          <w:sz w:val="28"/>
        </w:rPr>
        <w:t>Лекция и письменная самостоятельная работа</w:t>
      </w:r>
    </w:p>
    <w:p>
      <w:r>
        <w:t>Учебный материал раскрывает ключевые понятия темы и предлагает практическое задание, позволяющее применить теорию к ситуации из деятельности государства и бизнеса.</w:t>
      </w:r>
    </w:p>
    <w:p>
      <w:pPr>
        <w:pStyle w:val="Heading1"/>
      </w:pPr>
      <w:r>
        <w:t>Цель и результаты обучения</w:t>
      </w:r>
    </w:p>
    <w:p>
      <w:r>
        <w:t>Цель занятия — сформировать системное понимание организации оплаты труда и навыки разработки прозрачной и мотивирующей системы вознаграждения.</w:t>
      </w:r>
    </w:p>
    <w:p>
      <w:r>
        <w:t>После изучения темы обучающийся сможет:</w:t>
      </w:r>
    </w:p>
    <w:p>
      <w:pPr>
        <w:pStyle w:val="ListBullet"/>
      </w:pPr>
      <w:r>
        <w:t>различать элементы заработной платы</w:t>
      </w:r>
    </w:p>
    <w:p>
      <w:pPr>
        <w:pStyle w:val="ListBullet"/>
      </w:pPr>
      <w:r>
        <w:t>понимать принципы государственного и договорного регулирования</w:t>
      </w:r>
    </w:p>
    <w:p>
      <w:pPr>
        <w:pStyle w:val="ListBullet"/>
      </w:pPr>
      <w:r>
        <w:t>рассчитывать простые формы оплаты</w:t>
      </w:r>
    </w:p>
    <w:p>
      <w:pPr>
        <w:pStyle w:val="ListBullet"/>
      </w:pPr>
      <w:r>
        <w:t>оценивать справедливость и мотивирующее действие системы</w:t>
      </w:r>
    </w:p>
    <w:p>
      <w:pPr>
        <w:pStyle w:val="Heading1"/>
      </w:pPr>
      <w:r>
        <w:t>План лекции</w:t>
      </w:r>
    </w:p>
    <w:p>
      <w:pPr>
        <w:pStyle w:val="ListNumber"/>
      </w:pPr>
      <w:r>
        <w:t>Экономическая и правовая сущность оплаты труда</w:t>
      </w:r>
    </w:p>
    <w:p>
      <w:pPr>
        <w:pStyle w:val="ListNumber"/>
      </w:pPr>
      <w:r>
        <w:t>Структура заработной платы</w:t>
      </w:r>
    </w:p>
    <w:p>
      <w:pPr>
        <w:pStyle w:val="ListNumber"/>
      </w:pPr>
      <w:r>
        <w:t>Формы и системы оплаты</w:t>
      </w:r>
    </w:p>
    <w:p>
      <w:pPr>
        <w:pStyle w:val="ListNumber"/>
      </w:pPr>
      <w:r>
        <w:t>Гарантии, доплаты и удержания</w:t>
      </w:r>
    </w:p>
    <w:p>
      <w:pPr>
        <w:pStyle w:val="ListNumber"/>
      </w:pPr>
      <w:r>
        <w:t>Проектирование справедливой системы вознаграждения</w:t>
      </w:r>
    </w:p>
    <w:p>
      <w:r>
        <w:br w:type="page"/>
      </w:r>
    </w:p>
    <w:p>
      <w:pPr>
        <w:pStyle w:val="Heading1"/>
      </w:pPr>
      <w:r>
        <w:t>Лекционный материал</w:t>
      </w:r>
    </w:p>
    <w:p>
      <w:pPr>
        <w:pStyle w:val="Heading2"/>
      </w:pPr>
      <w:r>
        <w:t>1 Сущность оплаты труда</w:t>
      </w:r>
    </w:p>
    <w:p>
      <w:r>
        <w:t>Оплата труда одновременно является доходом работника, расходом работодателя и инструментом управления. Она должна учитывать сложность, количество и качество труда, квалификацию, условия работы и результаты. Правовые гарантии устанавливают минимальные требования, а конкретные условия закрепляются в трудовом и коллективном договорах и актах работодателя.</w:t>
      </w:r>
    </w:p>
    <w:p>
      <w:r>
        <w:t>Практическое значение. При анализе важно отделять заявленные цели от фактических стимулов участников и проверять, как решение влияет на стоимость, качество, сроки и доверие.</w:t>
      </w:r>
    </w:p>
    <w:p>
      <w:pPr>
        <w:pStyle w:val="Heading2"/>
      </w:pPr>
      <w:r>
        <w:t>2 Структура вознаграждения</w:t>
      </w:r>
    </w:p>
    <w:p>
      <w:r>
        <w:t>Вознаграждение может включать постоянную часть, переменные выплаты, доплаты, надбавки и компенсации. Постоянная часть обеспечивает предсказуемость, переменная связывает вознаграждение с результатом. Соотношение зависит от возможности измерить вклад и влияния работника на результат. Слишком высокая переменная часть может стимулировать краткосрочное или рискованное поведение.</w:t>
      </w:r>
    </w:p>
    <w:p>
      <w:r>
        <w:t>Практическое значение. Для управленческого решения полезно фиксировать исходные данные, допущения, ответственных лиц, сроки и показатели, по которым можно проверить результат.</w:t>
      </w:r>
    </w:p>
    <w:p>
      <w:pPr>
        <w:pStyle w:val="Heading2"/>
      </w:pPr>
      <w:r>
        <w:t>3 Формы оплаты</w:t>
      </w:r>
    </w:p>
    <w:p>
      <w:r>
        <w:t>Повременная система связывает оплату с отработанным временем и квалификацией; сдельная — с объемом продукции или операций. Премиальная система добавляет показатели результата. KPI должны быть понятными, измеримыми, достижимыми и находиться в зоне влияния работника. Нельзя поощрять объем в ущерб качеству и безопасности.</w:t>
      </w:r>
    </w:p>
    <w:p>
      <w:r>
        <w:t>Практическое значение. Сильная институциональная модель сочетает понятные правила, доступ к информации, возможность обратной связи и ответственность за отклонения.</w:t>
      </w:r>
    </w:p>
    <w:p>
      <w:pPr>
        <w:pStyle w:val="Heading2"/>
      </w:pPr>
      <w:r>
        <w:t>4 Гарантии и процедуры</w:t>
      </w:r>
    </w:p>
    <w:p>
      <w:r>
        <w:t>Работодатель обязан соблюдать сроки и порядок выплаты, документировать условия и информировать работника о составных частях начисления и удержаниях. Работа в особых условиях, сверхурочно, в праздничные и выходные дни регулируется специальными гарантиями. Удержания производятся только на законном основании и в установленных пределах.</w:t>
      </w:r>
    </w:p>
    <w:p>
      <w:r>
        <w:t>Практическое значение. Любой инструмент следует оценивать с точки зрения прямых результатов, побочных эффектов, распределения выгод и издержек, а также долгосрочной устойчивости.</w:t>
      </w:r>
    </w:p>
    <w:p>
      <w:pPr>
        <w:pStyle w:val="Heading2"/>
      </w:pPr>
      <w:r>
        <w:t>5 Справедливость системы</w:t>
      </w:r>
    </w:p>
    <w:p>
      <w:r>
        <w:t>Внутренняя справедливость означает сопоставимую оплату равноценного труда, внешняя — конкурентоспособность на рынке. Оценка должностей, диапазоны окладов и прозрачные правила пересмотра уменьшают субъективность. Анализ разрывов в оплате должен учитывать должность, квалификацию, стаж, результативность и условия труда, не допуская дискриминации.</w:t>
      </w:r>
    </w:p>
    <w:p>
      <w:r>
        <w:t>Практическое значение. Вывод должен опираться на проверяемые данные и содержать альтернативы, риски реализации и условия пересмотра решения.</w:t>
      </w:r>
    </w:p>
    <w:p>
      <w:pPr>
        <w:pStyle w:val="Heading1"/>
      </w:pPr>
      <w:r>
        <w:t>Обобщающая схема анализа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67"/>
        <w:gridCol w:w="3267"/>
        <w:gridCol w:w="3267"/>
      </w:tblGrid>
      <w:tr>
        <w:tc>
          <w:tcPr>
            <w:tcW w:type="dxa" w:w="1474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Этап</w:t>
            </w:r>
          </w:p>
        </w:tc>
        <w:tc>
          <w:tcPr>
            <w:tcW w:type="dxa" w:w="3515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Основной вопрос</w:t>
            </w:r>
          </w:p>
        </w:tc>
        <w:tc>
          <w:tcPr>
            <w:tcW w:type="dxa" w:w="3515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Результат</w:t>
            </w:r>
          </w:p>
        </w:tc>
      </w:tr>
      <w:tr>
        <w:tc>
          <w:tcPr>
            <w:tcW w:type="dxa" w:w="1474"/>
            <w:vAlign w:val="center"/>
          </w:tcPr>
          <w:p>
            <w:r>
              <w:rPr>
                <w:sz w:val="18"/>
              </w:rPr>
              <w:t>1 Диагностика</w:t>
            </w:r>
          </w:p>
        </w:tc>
        <w:tc>
          <w:tcPr>
            <w:tcW w:type="dxa" w:w="3515"/>
            <w:vAlign w:val="center"/>
          </w:tcPr>
          <w:p>
            <w:r>
              <w:rPr>
                <w:sz w:val="18"/>
              </w:rPr>
              <w:t>Какова проблема и кого она затрагивает</w:t>
            </w:r>
          </w:p>
        </w:tc>
        <w:tc>
          <w:tcPr>
            <w:tcW w:type="dxa" w:w="3515"/>
            <w:vAlign w:val="center"/>
          </w:tcPr>
          <w:p>
            <w:r>
              <w:rPr>
                <w:sz w:val="18"/>
              </w:rPr>
              <w:t>Описание исходной ситуации и данные</w:t>
            </w:r>
          </w:p>
        </w:tc>
      </w:tr>
      <w:tr>
        <w:tc>
          <w:tcPr>
            <w:tcW w:type="dxa" w:w="1474"/>
            <w:vAlign w:val="center"/>
            <w:shd w:fill="EEF4F8"/>
          </w:tcPr>
          <w:p>
            <w:r>
              <w:rPr>
                <w:sz w:val="18"/>
              </w:rPr>
              <w:t>2 Интересы</w:t>
            </w:r>
          </w:p>
        </w:tc>
        <w:tc>
          <w:tcPr>
            <w:tcW w:type="dxa" w:w="3515"/>
            <w:vAlign w:val="center"/>
            <w:shd w:fill="EEF4F8"/>
          </w:tcPr>
          <w:p>
            <w:r>
              <w:rPr>
                <w:sz w:val="18"/>
              </w:rPr>
              <w:t>Какие цели и ресурсы есть у участников</w:t>
            </w:r>
          </w:p>
        </w:tc>
        <w:tc>
          <w:tcPr>
            <w:tcW w:type="dxa" w:w="3515"/>
            <w:vAlign w:val="center"/>
            <w:shd w:fill="EEF4F8"/>
          </w:tcPr>
          <w:p>
            <w:r>
              <w:rPr>
                <w:sz w:val="18"/>
              </w:rPr>
              <w:t>Карта заинтересованных сторон</w:t>
            </w:r>
          </w:p>
        </w:tc>
      </w:tr>
      <w:tr>
        <w:tc>
          <w:tcPr>
            <w:tcW w:type="dxa" w:w="1474"/>
            <w:vAlign w:val="center"/>
          </w:tcPr>
          <w:p>
            <w:r>
              <w:rPr>
                <w:sz w:val="18"/>
              </w:rPr>
              <w:t>3 Альтернативы</w:t>
            </w:r>
          </w:p>
        </w:tc>
        <w:tc>
          <w:tcPr>
            <w:tcW w:type="dxa" w:w="3515"/>
            <w:vAlign w:val="center"/>
          </w:tcPr>
          <w:p>
            <w:r>
              <w:rPr>
                <w:sz w:val="18"/>
              </w:rPr>
              <w:t>Какие варианты решения возможны</w:t>
            </w:r>
          </w:p>
        </w:tc>
        <w:tc>
          <w:tcPr>
            <w:tcW w:type="dxa" w:w="3515"/>
            <w:vAlign w:val="center"/>
          </w:tcPr>
          <w:p>
            <w:r>
              <w:rPr>
                <w:sz w:val="18"/>
              </w:rPr>
              <w:t>Сопоставимые варианты</w:t>
            </w:r>
          </w:p>
        </w:tc>
      </w:tr>
      <w:tr>
        <w:tc>
          <w:tcPr>
            <w:tcW w:type="dxa" w:w="1474"/>
            <w:vAlign w:val="center"/>
            <w:shd w:fill="EEF4F8"/>
          </w:tcPr>
          <w:p>
            <w:r>
              <w:rPr>
                <w:sz w:val="18"/>
              </w:rPr>
              <w:t>4 Риски</w:t>
            </w:r>
          </w:p>
        </w:tc>
        <w:tc>
          <w:tcPr>
            <w:tcW w:type="dxa" w:w="3515"/>
            <w:vAlign w:val="center"/>
            <w:shd w:fill="EEF4F8"/>
          </w:tcPr>
          <w:p>
            <w:r>
              <w:rPr>
                <w:sz w:val="18"/>
              </w:rPr>
              <w:t>Что может помешать и кто управляет риском</w:t>
            </w:r>
          </w:p>
        </w:tc>
        <w:tc>
          <w:tcPr>
            <w:tcW w:type="dxa" w:w="3515"/>
            <w:vAlign w:val="center"/>
            <w:shd w:fill="EEF4F8"/>
          </w:tcPr>
          <w:p>
            <w:r>
              <w:rPr>
                <w:sz w:val="18"/>
              </w:rPr>
              <w:t>Реестр рисков и меры</w:t>
            </w:r>
          </w:p>
        </w:tc>
      </w:tr>
      <w:tr>
        <w:tc>
          <w:tcPr>
            <w:tcW w:type="dxa" w:w="1474"/>
            <w:vAlign w:val="center"/>
          </w:tcPr>
          <w:p>
            <w:r>
              <w:rPr>
                <w:sz w:val="18"/>
              </w:rPr>
              <w:t>5 Решение</w:t>
            </w:r>
          </w:p>
        </w:tc>
        <w:tc>
          <w:tcPr>
            <w:tcW w:type="dxa" w:w="3515"/>
            <w:vAlign w:val="center"/>
          </w:tcPr>
          <w:p>
            <w:r>
              <w:rPr>
                <w:sz w:val="18"/>
              </w:rPr>
              <w:t>Какой вариант дает лучший совокупный результат</w:t>
            </w:r>
          </w:p>
        </w:tc>
        <w:tc>
          <w:tcPr>
            <w:tcW w:type="dxa" w:w="3515"/>
            <w:vAlign w:val="center"/>
          </w:tcPr>
          <w:p>
            <w:r>
              <w:rPr>
                <w:sz w:val="18"/>
              </w:rPr>
              <w:t>Обоснованный выбор</w:t>
            </w:r>
          </w:p>
        </w:tc>
      </w:tr>
      <w:tr>
        <w:tc>
          <w:tcPr>
            <w:tcW w:type="dxa" w:w="1474"/>
            <w:vAlign w:val="center"/>
            <w:shd w:fill="EEF4F8"/>
          </w:tcPr>
          <w:p>
            <w:r>
              <w:rPr>
                <w:sz w:val="18"/>
              </w:rPr>
              <w:t>6 Контроль</w:t>
            </w:r>
          </w:p>
        </w:tc>
        <w:tc>
          <w:tcPr>
            <w:tcW w:type="dxa" w:w="3515"/>
            <w:vAlign w:val="center"/>
            <w:shd w:fill="EEF4F8"/>
          </w:tcPr>
          <w:p>
            <w:r>
              <w:rPr>
                <w:sz w:val="18"/>
              </w:rPr>
              <w:t>Как измерить исполнение и эффект</w:t>
            </w:r>
          </w:p>
        </w:tc>
        <w:tc>
          <w:tcPr>
            <w:tcW w:type="dxa" w:w="3515"/>
            <w:vAlign w:val="center"/>
            <w:shd w:fill="EEF4F8"/>
          </w:tcPr>
          <w:p>
            <w:r>
              <w:rPr>
                <w:sz w:val="18"/>
              </w:rPr>
              <w:t>Показатели и порядок мониторинга</w:t>
            </w:r>
          </w:p>
        </w:tc>
      </w:tr>
    </w:tbl>
    <w:p/>
    <w:p>
      <w:pPr>
        <w:pStyle w:val="Heading1"/>
      </w:pPr>
      <w:r>
        <w:t>Ключевые термины</w:t>
      </w:r>
    </w:p>
    <w:p>
      <w:pPr>
        <w:pStyle w:val="ListBullet"/>
      </w:pPr>
      <w:r>
        <w:t>Институт — понятие, которое необходимо раскрыть применительно к теме и использовать в письменном анализе.</w:t>
      </w:r>
    </w:p>
    <w:p>
      <w:pPr>
        <w:pStyle w:val="ListBullet"/>
      </w:pPr>
      <w:r>
        <w:t>Заинтересованная сторона — понятие, которое необходимо раскрыть применительно к теме и использовать в письменном анализе.</w:t>
      </w:r>
    </w:p>
    <w:p>
      <w:pPr>
        <w:pStyle w:val="ListBullet"/>
      </w:pPr>
      <w:r>
        <w:t>Стимул — понятие, которое необходимо раскрыть применительно к теме и использовать в письменном анализе.</w:t>
      </w:r>
    </w:p>
    <w:p>
      <w:pPr>
        <w:pStyle w:val="ListBullet"/>
      </w:pPr>
      <w:r>
        <w:t>Транзакционные издержки — понятие, которое необходимо раскрыть применительно к теме и использовать в письменном анализе.</w:t>
      </w:r>
    </w:p>
    <w:p>
      <w:pPr>
        <w:pStyle w:val="ListBullet"/>
      </w:pPr>
      <w:r>
        <w:t>Риск — понятие, которое необходимо раскрыть применительно к теме и использовать в письменном анализе.</w:t>
      </w:r>
    </w:p>
    <w:p>
      <w:pPr>
        <w:pStyle w:val="ListBullet"/>
      </w:pPr>
      <w:r>
        <w:t>Подотчетность — понятие, которое необходимо раскрыть применительно к теме и использовать в письменном анализе.</w:t>
      </w:r>
    </w:p>
    <w:p>
      <w:pPr>
        <w:pStyle w:val="ListBullet"/>
      </w:pPr>
      <w:r>
        <w:t>Эффективность — понятие, которое необходимо раскрыть применительно к теме и использовать в письменном анализе.</w:t>
      </w:r>
    </w:p>
    <w:p>
      <w:pPr>
        <w:pStyle w:val="ListBullet"/>
      </w:pPr>
      <w:r>
        <w:t>Результативность — понятие, которое необходимо раскрыть применительно к теме и использовать в письменном анализе.</w:t>
      </w:r>
    </w:p>
    <w:p>
      <w:pPr>
        <w:pStyle w:val="Heading1"/>
      </w:pPr>
      <w:r>
        <w:t>Вопросы для самоконтроля</w:t>
      </w:r>
    </w:p>
    <w:p>
      <w:pPr>
        <w:pStyle w:val="ListNumber"/>
      </w:pPr>
      <w:r>
        <w:t>Какова основная общественная и экономическая цель рассматриваемого механизма?</w:t>
      </w:r>
    </w:p>
    <w:p>
      <w:pPr>
        <w:pStyle w:val="ListNumber"/>
      </w:pPr>
      <w:r>
        <w:t>Какие участники принимают решения и как распределена ответственность?</w:t>
      </w:r>
    </w:p>
    <w:p>
      <w:pPr>
        <w:pStyle w:val="ListNumber"/>
      </w:pPr>
      <w:r>
        <w:t>Какие данные необходимы для обоснованного вывода?</w:t>
      </w:r>
    </w:p>
    <w:p>
      <w:pPr>
        <w:pStyle w:val="ListNumber"/>
      </w:pPr>
      <w:r>
        <w:t>Какие риски возникают при недостаточной прозрачности?</w:t>
      </w:r>
    </w:p>
    <w:p>
      <w:pPr>
        <w:pStyle w:val="ListNumber"/>
      </w:pPr>
      <w:r>
        <w:t>Как отличить результативность от формального выполнения процедуры?</w:t>
      </w:r>
    </w:p>
    <w:p>
      <w:pPr>
        <w:pStyle w:val="ListNumber"/>
      </w:pPr>
      <w:r>
        <w:t>Какие побочные эффекты может вызвать государственное вмешательство?</w:t>
      </w:r>
    </w:p>
    <w:p>
      <w:pPr>
        <w:pStyle w:val="ListNumber"/>
      </w:pPr>
      <w:r>
        <w:t>Какие показатели позволяют оценить результат?</w:t>
      </w:r>
    </w:p>
    <w:p>
      <w:pPr>
        <w:pStyle w:val="ListNumber"/>
      </w:pPr>
      <w:r>
        <w:t>Как обеспечить баланс публичных и частных интересов?</w:t>
      </w:r>
    </w:p>
    <w:p>
      <w:r>
        <w:br w:type="page"/>
      </w:r>
    </w:p>
    <w:p>
      <w:pPr>
        <w:pStyle w:val="Heading1"/>
      </w:pPr>
      <w:r>
        <w:t>Письменная самостоятельная работа</w:t>
      </w:r>
    </w:p>
    <w:p>
      <w:pPr>
        <w:pStyle w:val="Heading2"/>
      </w:pPr>
      <w:r>
        <w:t>Разработка прозрачной системы оплаты труда для подразделения</w:t>
      </w:r>
    </w:p>
    <w:p>
      <w:r>
        <w:t>Цель работы — применить понятия лекции, аргументированно проанализировать ситуацию и предложить реализуемое решение.</w:t>
      </w:r>
    </w:p>
    <w:p>
      <w:pPr>
        <w:pStyle w:val="Heading2"/>
      </w:pPr>
      <w:r>
        <w:t>Исходная ситуация</w:t>
      </w:r>
    </w:p>
    <w:p>
      <w:r>
        <w:t>В отделе продаж работают руководитель и четыре менеджера. Оклад одинаков для всех менеджеров, премия зависит только от выручки. Возвраты товара и жалобы клиентов выросли, а сотрудники спорят о распределении клиентов.</w:t>
      </w:r>
    </w:p>
    <w:p>
      <w:pPr>
        <w:pStyle w:val="Heading2"/>
      </w:pPr>
      <w:r>
        <w:t>Задания</w:t>
      </w:r>
    </w:p>
    <w:p>
      <w:pPr>
        <w:pStyle w:val="ListNumber"/>
      </w:pPr>
      <w:r>
        <w:t>Определите недостатки действующей системы.</w:t>
      </w:r>
    </w:p>
    <w:p>
      <w:pPr>
        <w:pStyle w:val="ListNumber"/>
      </w:pPr>
      <w:r>
        <w:t>Предложите структуру постоянной и переменной частей.</w:t>
      </w:r>
    </w:p>
    <w:p>
      <w:pPr>
        <w:pStyle w:val="ListNumber"/>
      </w:pPr>
      <w:r>
        <w:t>Разработайте четыре KPI с весами и ограничителями качества.</w:t>
      </w:r>
    </w:p>
    <w:p>
      <w:pPr>
        <w:pStyle w:val="ListNumber"/>
      </w:pPr>
      <w:r>
        <w:t>Рассчитайте пример начисления для сотрудника при выполнении KPI на 90 процентов.</w:t>
      </w:r>
    </w:p>
    <w:p>
      <w:pPr>
        <w:pStyle w:val="ListNumber"/>
      </w:pPr>
      <w:r>
        <w:t>Сформулируйте правила информирования и пересмотра оплаты труда.</w:t>
      </w:r>
    </w:p>
    <w:p>
      <w:pPr>
        <w:pStyle w:val="Heading2"/>
      </w:pPr>
      <w:r>
        <w:t>Требования к выполнению</w:t>
      </w:r>
    </w:p>
    <w:p>
      <w:pPr>
        <w:pStyle w:val="ListBullet"/>
      </w:pPr>
      <w:r>
        <w:t>Объем основной части: 4–6 страниц без учета титульного листа и списка источников.</w:t>
      </w:r>
    </w:p>
    <w:p>
      <w:pPr>
        <w:pStyle w:val="ListBullet"/>
      </w:pPr>
      <w:r>
        <w:t>Структура: введение, анализ ситуации, аргументированные предложения, вывод, список использованных источников.</w:t>
      </w:r>
    </w:p>
    <w:p>
      <w:pPr>
        <w:pStyle w:val="ListBullet"/>
      </w:pPr>
      <w:r>
        <w:t>Каждый вывод должен быть связан с фактами кейса, расчетом, нормативным положением или научным источником.</w:t>
      </w:r>
    </w:p>
    <w:p>
      <w:pPr>
        <w:pStyle w:val="ListBullet"/>
      </w:pPr>
      <w:r>
        <w:t>Обязательно включить не менее одной аналитической таблицы или схемы и не менее пяти источников.</w:t>
      </w:r>
    </w:p>
    <w:p>
      <w:pPr>
        <w:pStyle w:val="ListBullet"/>
      </w:pPr>
      <w:r>
        <w:t>При использовании статистики указать период, единицу измерения и источник данных.</w:t>
      </w:r>
    </w:p>
    <w:p>
      <w:pPr>
        <w:pStyle w:val="ListBullet"/>
      </w:pPr>
      <w:r>
        <w:t>Текст представить в академическом стиле; прямые заимствования оформить как цитаты со ссылкой.</w:t>
      </w:r>
    </w:p>
    <w:p>
      <w:pPr>
        <w:pStyle w:val="Heading2"/>
      </w:pPr>
      <w:r>
        <w:t>Рекомендуемая структура ответа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67"/>
        <w:gridCol w:w="3267"/>
        <w:gridCol w:w="3267"/>
      </w:tblGrid>
      <w:tr>
        <w:tc>
          <w:tcPr>
            <w:tcW w:type="dxa" w:w="1814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Раздел</w:t>
            </w:r>
          </w:p>
        </w:tc>
        <w:tc>
          <w:tcPr>
            <w:tcW w:type="dxa" w:w="4932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Содержание</w:t>
            </w:r>
          </w:p>
        </w:tc>
        <w:tc>
          <w:tcPr>
            <w:tcW w:type="dxa" w:w="1757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Ориентир объема</w:t>
            </w:r>
          </w:p>
        </w:tc>
      </w:tr>
      <w:tr>
        <w:tc>
          <w:tcPr>
            <w:tcW w:type="dxa" w:w="1814"/>
            <w:vAlign w:val="center"/>
          </w:tcPr>
          <w:p>
            <w:r>
              <w:rPr>
                <w:sz w:val="18"/>
              </w:rPr>
              <w:t>Введение</w:t>
            </w:r>
          </w:p>
        </w:tc>
        <w:tc>
          <w:tcPr>
            <w:tcW w:type="dxa" w:w="4932"/>
            <w:vAlign w:val="center"/>
          </w:tcPr>
          <w:p>
            <w:r>
              <w:rPr>
                <w:sz w:val="18"/>
              </w:rPr>
              <w:t>Проблема, цель и метод анализа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8"/>
              </w:rPr>
              <w:t>0,5 страницы</w:t>
            </w:r>
          </w:p>
        </w:tc>
      </w:tr>
      <w:tr>
        <w:tc>
          <w:tcPr>
            <w:tcW w:type="dxa" w:w="1814"/>
            <w:vAlign w:val="center"/>
            <w:shd w:fill="EEF4F8"/>
          </w:tcPr>
          <w:p>
            <w:r>
              <w:rPr>
                <w:sz w:val="18"/>
              </w:rPr>
              <w:t>Диагностика</w:t>
            </w:r>
          </w:p>
        </w:tc>
        <w:tc>
          <w:tcPr>
            <w:tcW w:type="dxa" w:w="4932"/>
            <w:vAlign w:val="center"/>
            <w:shd w:fill="EEF4F8"/>
          </w:tcPr>
          <w:p>
            <w:r>
              <w:rPr>
                <w:sz w:val="18"/>
              </w:rPr>
              <w:t>Факты, участники, интересы и ограничения</w:t>
            </w:r>
          </w:p>
        </w:tc>
        <w:tc>
          <w:tcPr>
            <w:tcW w:type="dxa" w:w="1757"/>
            <w:vAlign w:val="center"/>
            <w:shd w:fill="EEF4F8"/>
          </w:tcPr>
          <w:p>
            <w:r>
              <w:rPr>
                <w:sz w:val="18"/>
              </w:rPr>
              <w:t>1–1,5 страницы</w:t>
            </w:r>
          </w:p>
        </w:tc>
      </w:tr>
      <w:tr>
        <w:tc>
          <w:tcPr>
            <w:tcW w:type="dxa" w:w="1814"/>
            <w:vAlign w:val="center"/>
          </w:tcPr>
          <w:p>
            <w:r>
              <w:rPr>
                <w:sz w:val="18"/>
              </w:rPr>
              <w:t>Основной анализ</w:t>
            </w:r>
          </w:p>
        </w:tc>
        <w:tc>
          <w:tcPr>
            <w:tcW w:type="dxa" w:w="4932"/>
            <w:vAlign w:val="center"/>
          </w:tcPr>
          <w:p>
            <w:r>
              <w:rPr>
                <w:sz w:val="18"/>
              </w:rPr>
              <w:t>Применение понятий, вариантов и рисков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8"/>
              </w:rPr>
              <w:t>2–3 страницы</w:t>
            </w:r>
          </w:p>
        </w:tc>
      </w:tr>
      <w:tr>
        <w:tc>
          <w:tcPr>
            <w:tcW w:type="dxa" w:w="1814"/>
            <w:vAlign w:val="center"/>
            <w:shd w:fill="EEF4F8"/>
          </w:tcPr>
          <w:p>
            <w:r>
              <w:rPr>
                <w:sz w:val="18"/>
              </w:rPr>
              <w:t>Предложения</w:t>
            </w:r>
          </w:p>
        </w:tc>
        <w:tc>
          <w:tcPr>
            <w:tcW w:type="dxa" w:w="4932"/>
            <w:vAlign w:val="center"/>
            <w:shd w:fill="EEF4F8"/>
          </w:tcPr>
          <w:p>
            <w:r>
              <w:rPr>
                <w:sz w:val="18"/>
              </w:rPr>
              <w:t>Меры, ответственные, сроки и показатели</w:t>
            </w:r>
          </w:p>
        </w:tc>
        <w:tc>
          <w:tcPr>
            <w:tcW w:type="dxa" w:w="1757"/>
            <w:vAlign w:val="center"/>
            <w:shd w:fill="EEF4F8"/>
          </w:tcPr>
          <w:p>
            <w:r>
              <w:rPr>
                <w:sz w:val="18"/>
              </w:rPr>
              <w:t>1 страница</w:t>
            </w:r>
          </w:p>
        </w:tc>
      </w:tr>
      <w:tr>
        <w:tc>
          <w:tcPr>
            <w:tcW w:type="dxa" w:w="1814"/>
            <w:vAlign w:val="center"/>
          </w:tcPr>
          <w:p>
            <w:r>
              <w:rPr>
                <w:sz w:val="18"/>
              </w:rPr>
              <w:t>Вывод</w:t>
            </w:r>
          </w:p>
        </w:tc>
        <w:tc>
          <w:tcPr>
            <w:tcW w:type="dxa" w:w="4932"/>
            <w:vAlign w:val="center"/>
          </w:tcPr>
          <w:p>
            <w:r>
              <w:rPr>
                <w:sz w:val="18"/>
              </w:rPr>
              <w:t>Краткий аргументированный итог</w:t>
            </w:r>
          </w:p>
        </w:tc>
        <w:tc>
          <w:tcPr>
            <w:tcW w:type="dxa" w:w="1757"/>
            <w:vAlign w:val="center"/>
          </w:tcPr>
          <w:p>
            <w:r>
              <w:rPr>
                <w:sz w:val="18"/>
              </w:rPr>
              <w:t>0,5 страницы</w:t>
            </w:r>
          </w:p>
        </w:tc>
      </w:tr>
    </w:tbl>
    <w:p/>
    <w:p>
      <w:pPr>
        <w:pStyle w:val="Heading2"/>
      </w:pPr>
      <w:r>
        <w:t>Критерии оценивания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267"/>
        <w:gridCol w:w="3267"/>
        <w:gridCol w:w="3267"/>
      </w:tblGrid>
      <w:tr>
        <w:tc>
          <w:tcPr>
            <w:tcW w:type="dxa" w:w="2381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Критерий</w:t>
            </w:r>
          </w:p>
        </w:tc>
        <w:tc>
          <w:tcPr>
            <w:tcW w:type="dxa" w:w="1020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Баллы</w:t>
            </w:r>
          </w:p>
        </w:tc>
        <w:tc>
          <w:tcPr>
            <w:tcW w:type="dxa" w:w="5102"/>
            <w:shd w:fill="1F4E78"/>
            <w:vAlign w:val="center"/>
          </w:tcPr>
          <w:p>
            <w:r>
              <w:rPr>
                <w:b/>
                <w:color w:val="FFFFFF"/>
                <w:sz w:val="18"/>
              </w:rPr>
              <w:t>Признаки качественного выполнения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sz w:val="18"/>
              </w:rPr>
              <w:t>Понимание теории</w:t>
            </w:r>
          </w:p>
        </w:tc>
        <w:tc>
          <w:tcPr>
            <w:tcW w:type="dxa" w:w="1020"/>
            <w:vAlign w:val="center"/>
          </w:tcPr>
          <w:p>
            <w:r>
              <w:rPr>
                <w:sz w:val="18"/>
              </w:rPr>
              <w:t>20</w:t>
            </w:r>
          </w:p>
        </w:tc>
        <w:tc>
          <w:tcPr>
            <w:tcW w:type="dxa" w:w="5102"/>
            <w:vAlign w:val="center"/>
          </w:tcPr>
          <w:p>
            <w:r>
              <w:rPr>
                <w:sz w:val="18"/>
              </w:rPr>
              <w:t>Корректно раскрыты понятия и причинно следственные связи</w:t>
            </w:r>
          </w:p>
        </w:tc>
      </w:tr>
      <w:tr>
        <w:tc>
          <w:tcPr>
            <w:tcW w:type="dxa" w:w="2381"/>
            <w:vAlign w:val="center"/>
            <w:shd w:fill="EEF4F8"/>
          </w:tcPr>
          <w:p>
            <w:r>
              <w:rPr>
                <w:sz w:val="18"/>
              </w:rPr>
              <w:t>Анализ ситуации</w:t>
            </w:r>
          </w:p>
        </w:tc>
        <w:tc>
          <w:tcPr>
            <w:tcW w:type="dxa" w:w="1020"/>
            <w:vAlign w:val="center"/>
            <w:shd w:fill="EEF4F8"/>
          </w:tcPr>
          <w:p>
            <w:r>
              <w:rPr>
                <w:sz w:val="18"/>
              </w:rPr>
              <w:t>25</w:t>
            </w:r>
          </w:p>
        </w:tc>
        <w:tc>
          <w:tcPr>
            <w:tcW w:type="dxa" w:w="5102"/>
            <w:vAlign w:val="center"/>
            <w:shd w:fill="EEF4F8"/>
          </w:tcPr>
          <w:p>
            <w:r>
              <w:rPr>
                <w:sz w:val="18"/>
              </w:rPr>
              <w:t>Выводы опираются на данные, учтены интересы и ограничения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sz w:val="18"/>
              </w:rPr>
              <w:t>Обоснованность решений</w:t>
            </w:r>
          </w:p>
        </w:tc>
        <w:tc>
          <w:tcPr>
            <w:tcW w:type="dxa" w:w="1020"/>
            <w:vAlign w:val="center"/>
          </w:tcPr>
          <w:p>
            <w:r>
              <w:rPr>
                <w:sz w:val="18"/>
              </w:rPr>
              <w:t>25</w:t>
            </w:r>
          </w:p>
        </w:tc>
        <w:tc>
          <w:tcPr>
            <w:tcW w:type="dxa" w:w="5102"/>
            <w:vAlign w:val="center"/>
          </w:tcPr>
          <w:p>
            <w:r>
              <w:rPr>
                <w:sz w:val="18"/>
              </w:rPr>
              <w:t>Предложения реалистичны, сопоставлены альтернативы и риски</w:t>
            </w:r>
          </w:p>
        </w:tc>
      </w:tr>
      <w:tr>
        <w:tc>
          <w:tcPr>
            <w:tcW w:type="dxa" w:w="2381"/>
            <w:vAlign w:val="center"/>
            <w:shd w:fill="EEF4F8"/>
          </w:tcPr>
          <w:p>
            <w:r>
              <w:rPr>
                <w:sz w:val="18"/>
              </w:rPr>
              <w:t>Самостоятельность</w:t>
            </w:r>
          </w:p>
        </w:tc>
        <w:tc>
          <w:tcPr>
            <w:tcW w:type="dxa" w:w="1020"/>
            <w:vAlign w:val="center"/>
            <w:shd w:fill="EEF4F8"/>
          </w:tcPr>
          <w:p>
            <w:r>
              <w:rPr>
                <w:sz w:val="18"/>
              </w:rPr>
              <w:t>15</w:t>
            </w:r>
          </w:p>
        </w:tc>
        <w:tc>
          <w:tcPr>
            <w:tcW w:type="dxa" w:w="5102"/>
            <w:vAlign w:val="center"/>
            <w:shd w:fill="EEF4F8"/>
          </w:tcPr>
          <w:p>
            <w:r>
              <w:rPr>
                <w:sz w:val="18"/>
              </w:rPr>
              <w:t>Есть собственная аргументация, расчеты или авторская схема</w:t>
            </w:r>
          </w:p>
        </w:tc>
      </w:tr>
      <w:tr>
        <w:tc>
          <w:tcPr>
            <w:tcW w:type="dxa" w:w="2381"/>
            <w:vAlign w:val="center"/>
          </w:tcPr>
          <w:p>
            <w:r>
              <w:rPr>
                <w:sz w:val="18"/>
              </w:rPr>
              <w:t>Структура и оформление</w:t>
            </w:r>
          </w:p>
        </w:tc>
        <w:tc>
          <w:tcPr>
            <w:tcW w:type="dxa" w:w="1020"/>
            <w:vAlign w:val="center"/>
          </w:tcPr>
          <w:p>
            <w:r>
              <w:rPr>
                <w:sz w:val="18"/>
              </w:rPr>
              <w:t>10</w:t>
            </w:r>
          </w:p>
        </w:tc>
        <w:tc>
          <w:tcPr>
            <w:tcW w:type="dxa" w:w="5102"/>
            <w:vAlign w:val="center"/>
          </w:tcPr>
          <w:p>
            <w:r>
              <w:rPr>
                <w:sz w:val="18"/>
              </w:rPr>
              <w:t>Логичная композиция, грамотный язык, корректные ссылки</w:t>
            </w:r>
          </w:p>
        </w:tc>
      </w:tr>
      <w:tr>
        <w:tc>
          <w:tcPr>
            <w:tcW w:type="dxa" w:w="2381"/>
            <w:vAlign w:val="center"/>
            <w:shd w:fill="EEF4F8"/>
          </w:tcPr>
          <w:p>
            <w:r>
              <w:rPr>
                <w:sz w:val="18"/>
              </w:rPr>
              <w:t>Выводы</w:t>
            </w:r>
          </w:p>
        </w:tc>
        <w:tc>
          <w:tcPr>
            <w:tcW w:type="dxa" w:w="1020"/>
            <w:vAlign w:val="center"/>
            <w:shd w:fill="EEF4F8"/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5102"/>
            <w:vAlign w:val="center"/>
            <w:shd w:fill="EEF4F8"/>
          </w:tcPr>
          <w:p>
            <w:r>
              <w:rPr>
                <w:sz w:val="18"/>
              </w:rPr>
              <w:t>Итог краток, конкретен и отвечает поставленной цели</w:t>
            </w:r>
          </w:p>
        </w:tc>
      </w:tr>
    </w:tbl>
    <w:p/>
    <w:p>
      <w:r>
        <w:t>Максимальная оценка: 100 баллов.</w:t>
      </w:r>
    </w:p>
    <w:p>
      <w:pPr>
        <w:pStyle w:val="Heading2"/>
      </w:pPr>
      <w:r>
        <w:t>Дополнительное задание повышенной сложности</w:t>
      </w:r>
    </w:p>
    <w:p>
      <w:r>
        <w:t>Подготовьте одностраничную аналитическую записку для руководителя. Укажите проблему, три ключевых факта, рекомендуемое решение, основные риски и два измеримых показателя контроля.</w:t>
      </w:r>
    </w:p>
    <w:p>
      <w:pPr>
        <w:pStyle w:val="Heading1"/>
      </w:pPr>
      <w:r>
        <w:t>Рекомендуемые источники</w:t>
      </w:r>
    </w:p>
    <w:p>
      <w:pPr>
        <w:pStyle w:val="ListNumber"/>
      </w:pPr>
      <w:r>
        <w:t>Трудовой кодекс Республики Казахстан от 23 ноября 2015 года № 414-V ЗРК, глава об оплате труда.</w:t>
      </w:r>
    </w:p>
    <w:p>
      <w:pPr>
        <w:pStyle w:val="ListNumber"/>
      </w:pPr>
      <w:r>
        <w:t>Официальные разъяснения Министерства труда и социальной защиты населения Республики Казахстан.</w:t>
      </w:r>
    </w:p>
    <w:p>
      <w:pPr>
        <w:pStyle w:val="ListNumber"/>
      </w:pPr>
      <w:r>
        <w:t>Нормативные правовые акты рекомендуется проверять в актуальной редакции в ИПС «Әділет» на дату выполнения работы.</w:t>
      </w:r>
    </w:p>
    <w:p>
      <w:pPr>
        <w:pStyle w:val="ListNumber"/>
      </w:pPr>
      <w:r>
        <w:t>Материалы международных организаций и рецензируемые научные публикации по теме.</w:t>
      </w:r>
    </w:p>
    <w:p>
      <w:r>
        <w:t>Электронные ресурсы: https://adilet.zan.kz; https://stat.gov.kz. Дата обращения определяется обучающимся при выполнении работы.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46464"/>
        <w:sz w:val="16"/>
      </w:rPr>
      <w:t>Тема учебной дисциплины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646464"/>
        <w:sz w:val="16"/>
      </w:rPr>
      <w:t>Учебно методический материал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6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