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B94C8" w14:textId="77777777" w:rsidR="006466B6" w:rsidRDefault="00000000">
      <w:pPr>
        <w:pStyle w:val="aa"/>
      </w:pPr>
      <w:r>
        <w:t>Интегрированное управление, завершение проекта и реализация выгод</w:t>
      </w:r>
    </w:p>
    <w:p w14:paraId="4BEB6637" w14:textId="77777777" w:rsidR="006466B6" w:rsidRDefault="00000000">
      <w:pPr>
        <w:pStyle w:val="1"/>
      </w:pPr>
      <w:r>
        <w:t>1. Управленческий обзор: согласовать направления</w:t>
      </w:r>
    </w:p>
    <w:p w14:paraId="20BD2466" w14:textId="77777777" w:rsidR="006466B6" w:rsidRDefault="00000000">
      <w:r>
        <w:t>Интегрированное управление означает рассмотрение взаимосвязей. Новое требование меняет не только список функций, но и проверки, данные, сроки, поддержку и расходы. Отчет по отдельным направлениям нужен, однако итоговое решение должно учитывать общий результат и ограничения.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3515"/>
        <w:gridCol w:w="3402"/>
      </w:tblGrid>
      <w:tr w:rsidR="006466B6" w14:paraId="4A47B122" w14:textId="77777777">
        <w:trPr>
          <w:cantSplit/>
          <w:tblHeader/>
          <w:jc w:val="center"/>
        </w:trPr>
        <w:tc>
          <w:tcPr>
            <w:tcW w:w="2608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32A1D6C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 обзора</w:t>
            </w:r>
          </w:p>
        </w:tc>
        <w:tc>
          <w:tcPr>
            <w:tcW w:w="3515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1B76CD5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Свидетельство</w:t>
            </w:r>
          </w:p>
        </w:tc>
        <w:tc>
          <w:tcPr>
            <w:tcW w:w="3402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4D714DA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Возможное решение</w:t>
            </w:r>
          </w:p>
        </w:tc>
      </w:tr>
      <w:tr w:rsidR="006466B6" w14:paraId="6205AF56" w14:textId="77777777">
        <w:trPr>
          <w:cantSplit/>
          <w:jc w:val="center"/>
        </w:trPr>
        <w:tc>
          <w:tcPr>
            <w:tcW w:w="260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B633932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Проблема остается значимой?</w:t>
            </w:r>
          </w:p>
        </w:tc>
        <w:tc>
          <w:tcPr>
            <w:tcW w:w="351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89616D1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Исследование и обратная связь</w:t>
            </w:r>
          </w:p>
        </w:tc>
        <w:tc>
          <w:tcPr>
            <w:tcW w:w="340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0F64017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Сохранить или уточнить цель</w:t>
            </w:r>
          </w:p>
        </w:tc>
      </w:tr>
      <w:tr w:rsidR="006466B6" w14:paraId="562E71A7" w14:textId="77777777">
        <w:trPr>
          <w:cantSplit/>
          <w:jc w:val="center"/>
        </w:trPr>
        <w:tc>
          <w:tcPr>
            <w:tcW w:w="260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F244F2F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Что действительно принято?</w:t>
            </w:r>
          </w:p>
        </w:tc>
        <w:tc>
          <w:tcPr>
            <w:tcW w:w="351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EFE88D9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Демонстрация и протокол приемки</w:t>
            </w:r>
          </w:p>
        </w:tc>
        <w:tc>
          <w:tcPr>
            <w:tcW w:w="340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5D4F7AE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Закрыть или доработать результат</w:t>
            </w:r>
          </w:p>
        </w:tc>
      </w:tr>
      <w:tr w:rsidR="006466B6" w14:paraId="3605F66C" w14:textId="77777777">
        <w:trPr>
          <w:cantSplit/>
          <w:jc w:val="center"/>
        </w:trPr>
        <w:tc>
          <w:tcPr>
            <w:tcW w:w="260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ECAEA49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Что изменилось в прогнозе?</w:t>
            </w:r>
          </w:p>
        </w:tc>
        <w:tc>
          <w:tcPr>
            <w:tcW w:w="351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98ACB75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Зависимости, бюджет и загрузка</w:t>
            </w:r>
          </w:p>
        </w:tc>
        <w:tc>
          <w:tcPr>
            <w:tcW w:w="340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CAC38A5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Перепланировать объем</w:t>
            </w:r>
          </w:p>
        </w:tc>
      </w:tr>
      <w:tr w:rsidR="006466B6" w14:paraId="673EBB60" w14:textId="77777777">
        <w:trPr>
          <w:cantSplit/>
          <w:jc w:val="center"/>
        </w:trPr>
        <w:tc>
          <w:tcPr>
            <w:tcW w:w="260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DCB56F7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Какие риски превышают допуск?</w:t>
            </w:r>
          </w:p>
        </w:tc>
        <w:tc>
          <w:tcPr>
            <w:tcW w:w="351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CD41162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Реестр и проверенные сигналы</w:t>
            </w:r>
          </w:p>
        </w:tc>
        <w:tc>
          <w:tcPr>
            <w:tcW w:w="340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EAB934D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Ограничить или остановить</w:t>
            </w:r>
          </w:p>
        </w:tc>
      </w:tr>
      <w:tr w:rsidR="006466B6" w14:paraId="1AC7245F" w14:textId="77777777">
        <w:trPr>
          <w:cantSplit/>
          <w:jc w:val="center"/>
        </w:trPr>
        <w:tc>
          <w:tcPr>
            <w:tcW w:w="260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CA739E0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Кто получает пользу?</w:t>
            </w:r>
          </w:p>
        </w:tc>
        <w:tc>
          <w:tcPr>
            <w:tcW w:w="351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66424B5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Метрики и эксплуатационный владелец</w:t>
            </w:r>
          </w:p>
        </w:tc>
        <w:tc>
          <w:tcPr>
            <w:tcW w:w="340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AE127F8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Передать либо продолжить пилот</w:t>
            </w:r>
          </w:p>
        </w:tc>
      </w:tr>
    </w:tbl>
    <w:p w14:paraId="64CB0ABB" w14:textId="77777777" w:rsidR="006466B6" w:rsidRDefault="006466B6">
      <w:pPr>
        <w:spacing w:after="20" w:line="36" w:lineRule="auto"/>
      </w:pPr>
    </w:p>
    <w:p w14:paraId="5C6786F1" w14:textId="77777777" w:rsidR="006466B6" w:rsidRDefault="00000000">
      <w:r>
        <w:t>Цветовой статус без объяснения мало помогает. «Желтый» может означать недостаток денег, непринятое требование или отсутствие данных. Каждое отклонение описывают через последствие, основание, ответственного и требуемое решение. Неизвестное отмечается как неизвестное, а не окрашивается в благоприятный цвет.</w:t>
      </w:r>
    </w:p>
    <w:p w14:paraId="0AB0B1AE" w14:textId="77777777" w:rsidR="006466B6" w:rsidRDefault="00000000">
      <w:pPr>
        <w:pStyle w:val="21"/>
      </w:pPr>
      <w:r>
        <w:t>Контроль изменений и приоритетов</w:t>
      </w:r>
    </w:p>
    <w:p w14:paraId="379D29CB" w14:textId="77777777" w:rsidR="006466B6" w:rsidRDefault="00000000">
      <w:r>
        <w:t>Если все участники согласны с новой функцией, но никто не согласовал ее цену во времени и ресурсах, изменение еще не управляется. Нужно показать, что исключается, какой риск возникает и кто имеет право принять компромисс. Базовый план сохраняется как версия для сравнения.</w:t>
      </w:r>
    </w:p>
    <w:p w14:paraId="23591276" w14:textId="77777777" w:rsidR="006466B6" w:rsidRDefault="00000000">
      <w:r>
        <w:t>На уровне нескольких проектов учитывают общие ресурсы. Один архитектор не может одновременно быть полностью доступным трем инициативам. Поэтому приоритет проекта имеет смысл только вместе с решением о фактической загрузке и обязательствах команды.</w:t>
      </w:r>
    </w:p>
    <w:p w14:paraId="2B25F7CF" w14:textId="77777777" w:rsidR="006466B6" w:rsidRDefault="00000000">
      <w:r>
        <w:br w:type="page"/>
      </w:r>
    </w:p>
    <w:p w14:paraId="6AA089DA" w14:textId="77777777" w:rsidR="006466B6" w:rsidRDefault="00000000">
      <w:pPr>
        <w:pStyle w:val="1"/>
      </w:pPr>
      <w:r>
        <w:lastRenderedPageBreak/>
        <w:t>2. Продолжить, изменить или остановить</w:t>
      </w:r>
    </w:p>
    <w:p w14:paraId="2BD55F3E" w14:textId="77777777" w:rsidR="006466B6" w:rsidRDefault="00000000">
      <w:r>
        <w:t>Решение на контрольной точке касается будущих действий. Понесенные затраты объясняют историю, но сами по себе не делают дальнейшие расходы полезными. Нужно сравнить ожидаемый будущий результат, дополнительные ресурсы, обязательства перед пользователями и доступные альтернативы.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685"/>
        <w:gridCol w:w="3572"/>
      </w:tblGrid>
      <w:tr w:rsidR="006466B6" w14:paraId="2BAD7479" w14:textId="77777777">
        <w:trPr>
          <w:cantSplit/>
          <w:tblHeader/>
          <w:jc w:val="center"/>
        </w:trPr>
        <w:tc>
          <w:tcPr>
            <w:tcW w:w="2268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3B38858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Вариант</w:t>
            </w:r>
          </w:p>
        </w:tc>
        <w:tc>
          <w:tcPr>
            <w:tcW w:w="3685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9826200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Когда его рассматривают</w:t>
            </w:r>
          </w:p>
        </w:tc>
        <w:tc>
          <w:tcPr>
            <w:tcW w:w="3572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9F65F28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необходимо подтвердить</w:t>
            </w:r>
          </w:p>
        </w:tc>
      </w:tr>
      <w:tr w:rsidR="006466B6" w14:paraId="3878F4F2" w14:textId="77777777">
        <w:trPr>
          <w:cantSplit/>
          <w:jc w:val="center"/>
        </w:trPr>
        <w:tc>
          <w:tcPr>
            <w:tcW w:w="226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85A11DC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Продолжение</w:t>
            </w:r>
          </w:p>
        </w:tc>
        <w:tc>
          <w:tcPr>
            <w:tcW w:w="368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26BFED5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Ценность и путь реализации сохраняются</w:t>
            </w:r>
          </w:p>
        </w:tc>
        <w:tc>
          <w:tcPr>
            <w:tcW w:w="357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41C3062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Реалистичный остаточный план</w:t>
            </w:r>
          </w:p>
        </w:tc>
      </w:tr>
      <w:tr w:rsidR="006466B6" w14:paraId="5861F0D0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359BD7C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Изменение направления</w:t>
            </w:r>
          </w:p>
        </w:tc>
        <w:tc>
          <w:tcPr>
            <w:tcW w:w="368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4C70227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Проблема значима, решение не подходит</w:t>
            </w:r>
          </w:p>
        </w:tc>
        <w:tc>
          <w:tcPr>
            <w:tcW w:w="357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1AA96A5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Новая гипотеза и ограниченный тест</w:t>
            </w:r>
          </w:p>
        </w:tc>
      </w:tr>
      <w:tr w:rsidR="006466B6" w14:paraId="361A209F" w14:textId="77777777">
        <w:trPr>
          <w:cantSplit/>
          <w:jc w:val="center"/>
        </w:trPr>
        <w:tc>
          <w:tcPr>
            <w:tcW w:w="226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060303B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Пауза</w:t>
            </w:r>
          </w:p>
        </w:tc>
        <w:tc>
          <w:tcPr>
            <w:tcW w:w="368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5272B03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Необходимое условие временно отсутствует</w:t>
            </w:r>
          </w:p>
        </w:tc>
        <w:tc>
          <w:tcPr>
            <w:tcW w:w="357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AA9FB4B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Срок пересмотра и цена ожидания</w:t>
            </w:r>
          </w:p>
        </w:tc>
      </w:tr>
      <w:tr w:rsidR="006466B6" w14:paraId="4995BC29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3624C54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Завершение</w:t>
            </w:r>
          </w:p>
        </w:tc>
        <w:tc>
          <w:tcPr>
            <w:tcW w:w="368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D1700D2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Дальнейшая работа не обоснована</w:t>
            </w:r>
          </w:p>
        </w:tc>
        <w:tc>
          <w:tcPr>
            <w:tcW w:w="357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68724A6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Порядок закрытия и ответственность</w:t>
            </w:r>
          </w:p>
        </w:tc>
      </w:tr>
    </w:tbl>
    <w:p w14:paraId="10605228" w14:textId="77777777" w:rsidR="006466B6" w:rsidRDefault="006466B6">
      <w:pPr>
        <w:spacing w:after="20" w:line="36" w:lineRule="auto"/>
      </w:pPr>
    </w:p>
    <w:p w14:paraId="5A3C732A" w14:textId="77777777" w:rsidR="006466B6" w:rsidRDefault="00000000">
      <w:pPr>
        <w:pStyle w:val="21"/>
      </w:pPr>
      <w:r>
        <w:t>Условный расчет будущего выбора</w:t>
      </w:r>
    </w:p>
    <w:p w14:paraId="5C1AF9A8" w14:textId="77777777" w:rsidR="006466B6" w:rsidRDefault="00000000">
      <w:r>
        <w:t>На экспериментальный модуль уже потрачено 900 тыс. тенге. Для завершения нужно еще 400 тыс.; ожидаемая будущая выгода по принятому сценарию — 250 тыс. При игнорировании остальных факторов продолжение дает минус 150 тыс. относительно будущих дополнительных расходов. Само желание «не потерять 900 тыс.» не устраняет эту разницу.</w:t>
      </w:r>
    </w:p>
    <w:p w14:paraId="11E89559" w14:textId="77777777" w:rsidR="006466B6" w:rsidRDefault="00000000">
      <w:r>
        <w:t>Расчет не является готовым решением. Необходимо учесть стоимость завершения обязательств, вероятность и горизонт выгод, взаимосвязи с другими результатами и альтернативное использование команды. Если модуль обеспечивает обязательную безопасность, сравнение только денежной выгоды вообще недостаточно.</w:t>
      </w:r>
    </w:p>
    <w:p w14:paraId="22B63FB7" w14:textId="77777777" w:rsidR="006466B6" w:rsidRDefault="00000000">
      <w:r>
        <w:t>Поворот не означает произвольно назвать прежний проект новым. Уточняют проблему, границы, критерии и ресурсы; сохраняют, какие гипотезы не подтвердились. Это позволяет учиться, не переписывая историю под желаемый результат.</w:t>
      </w:r>
    </w:p>
    <w:p w14:paraId="44B714CA" w14:textId="77777777" w:rsidR="006466B6" w:rsidRDefault="00000000">
      <w:r>
        <w:br w:type="page"/>
      </w:r>
    </w:p>
    <w:p w14:paraId="3EA563E6" w14:textId="77777777" w:rsidR="006466B6" w:rsidRDefault="00000000">
      <w:pPr>
        <w:pStyle w:val="1"/>
      </w:pPr>
      <w:r>
        <w:lastRenderedPageBreak/>
        <w:t>3. Реальный кейс: объявление о закрытии Stadia</w:t>
      </w:r>
    </w:p>
    <w:p w14:paraId="69F63236" w14:textId="77777777" w:rsidR="006466B6" w:rsidRDefault="00000000">
      <w:r>
        <w:t>Досье источника. 29 сентября 2022 года Google объявил о сворачивании потребительского сервиса Stadia. В объяснении компания указала, что сервис не получил ожидаемого распространения. Было объявлено сохранение доступа к библиотеке до 18 января 2023 года и возврат средств за определенные покупки оборудования через Google Store, игр и дополнений через магазин Stadia [1].</w:t>
      </w:r>
    </w:p>
    <w:p w14:paraId="24F142A5" w14:textId="77777777" w:rsidR="006466B6" w:rsidRDefault="00000000">
      <w:r>
        <w:t>Эта формулировка относится к объявленным действиям и указанным категориям покупок, а не ко всем возможным платежам. Публикация не раскрывает полную экономику проекта и не позволяет независимо установить единственную причину решения. Высказывания компании о перспективах использования технологии остаются ее заявленными намерениями [1].</w:t>
      </w:r>
    </w:p>
    <w:p w14:paraId="5696858A" w14:textId="77777777" w:rsidR="006466B6" w:rsidRDefault="00000000">
      <w:pPr>
        <w:pStyle w:val="21"/>
      </w:pPr>
      <w:r>
        <w:t>Управленческие вопросы завершения</w:t>
      </w:r>
    </w:p>
    <w:p w14:paraId="678DD18D" w14:textId="77777777" w:rsidR="006466B6" w:rsidRDefault="00000000">
      <w:r>
        <w:t>Закрытие цифрового сервиса затрагивает не только команду разработки. Пользователю необходимо понять даты, судьбу оплаченного доступа и дальнейшие действия. Партнерам и операторам требуется единый источник согласованной информации. Снятие приложения с витрины само по себе не закрывает обязательства.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690"/>
      </w:tblGrid>
      <w:tr w:rsidR="006466B6" w14:paraId="682CFC63" w14:textId="77777777">
        <w:trPr>
          <w:cantSplit/>
          <w:tblHeader/>
          <w:jc w:val="center"/>
        </w:trPr>
        <w:tc>
          <w:tcPr>
            <w:tcW w:w="2835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6AD06EF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Область</w:t>
            </w:r>
          </w:p>
        </w:tc>
        <w:tc>
          <w:tcPr>
            <w:tcW w:w="6690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6EFCA33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 для учебного плана</w:t>
            </w:r>
          </w:p>
        </w:tc>
      </w:tr>
      <w:tr w:rsidR="006466B6" w14:paraId="0394A32A" w14:textId="77777777">
        <w:trPr>
          <w:cantSplit/>
          <w:jc w:val="center"/>
        </w:trPr>
        <w:tc>
          <w:tcPr>
            <w:tcW w:w="283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0DB5788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Пользователи</w:t>
            </w:r>
          </w:p>
        </w:tc>
        <w:tc>
          <w:tcPr>
            <w:tcW w:w="6690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9B9AFA9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Что меняется и какие действия доступны?</w:t>
            </w:r>
          </w:p>
        </w:tc>
      </w:tr>
      <w:tr w:rsidR="006466B6" w14:paraId="600E4E2C" w14:textId="77777777">
        <w:trPr>
          <w:cantSplit/>
          <w:jc w:val="center"/>
        </w:trPr>
        <w:tc>
          <w:tcPr>
            <w:tcW w:w="283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84441A5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Оплаты и договоренности</w:t>
            </w:r>
          </w:p>
        </w:tc>
        <w:tc>
          <w:tcPr>
            <w:tcW w:w="669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D974A67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Какие обязательства нужно исполнить?</w:t>
            </w:r>
          </w:p>
        </w:tc>
      </w:tr>
      <w:tr w:rsidR="006466B6" w14:paraId="76D60C44" w14:textId="77777777">
        <w:trPr>
          <w:cantSplit/>
          <w:jc w:val="center"/>
        </w:trPr>
        <w:tc>
          <w:tcPr>
            <w:tcW w:w="283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FD9D876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Данные и доступ</w:t>
            </w:r>
          </w:p>
        </w:tc>
        <w:tc>
          <w:tcPr>
            <w:tcW w:w="6690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351DE9E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Что сохраняется, передается или удаляется?</w:t>
            </w:r>
          </w:p>
        </w:tc>
      </w:tr>
      <w:tr w:rsidR="006466B6" w14:paraId="794644BD" w14:textId="77777777">
        <w:trPr>
          <w:cantSplit/>
          <w:jc w:val="center"/>
        </w:trPr>
        <w:tc>
          <w:tcPr>
            <w:tcW w:w="283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CA187BE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Команда и поставщики</w:t>
            </w:r>
          </w:p>
        </w:tc>
        <w:tc>
          <w:tcPr>
            <w:tcW w:w="669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BE131F5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Кто завершает работу и принимает остаточные вопросы?</w:t>
            </w:r>
          </w:p>
        </w:tc>
      </w:tr>
      <w:tr w:rsidR="006466B6" w14:paraId="560BBCC3" w14:textId="77777777">
        <w:trPr>
          <w:cantSplit/>
          <w:jc w:val="center"/>
        </w:trPr>
        <w:tc>
          <w:tcPr>
            <w:tcW w:w="283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7C80478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Знания</w:t>
            </w:r>
          </w:p>
        </w:tc>
        <w:tc>
          <w:tcPr>
            <w:tcW w:w="6690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F60222B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Какие результаты и уроки можно законно использовать дальше?</w:t>
            </w:r>
          </w:p>
        </w:tc>
      </w:tr>
    </w:tbl>
    <w:p w14:paraId="1B556979" w14:textId="77777777" w:rsidR="006466B6" w:rsidRDefault="006466B6">
      <w:pPr>
        <w:spacing w:after="20" w:line="36" w:lineRule="auto"/>
      </w:pPr>
    </w:p>
    <w:p w14:paraId="36BBF843" w14:textId="77777777" w:rsidR="006466B6" w:rsidRDefault="00000000">
      <w:r>
        <w:t>Таблица — обобщенная учебная модель, а не утверждение о неизвестных действиях Google. Для конкретной организации правовые обязанности определяются условиями и юрисдикцией; их нельзя заменять копированием чужого публичного сообщения.</w:t>
      </w:r>
    </w:p>
    <w:p w14:paraId="642FE9BF" w14:textId="77777777" w:rsidR="006466B6" w:rsidRDefault="00000000">
      <w:r>
        <w:br w:type="page"/>
      </w:r>
    </w:p>
    <w:p w14:paraId="1D272233" w14:textId="77777777" w:rsidR="006466B6" w:rsidRDefault="00000000">
      <w:pPr>
        <w:pStyle w:val="1"/>
      </w:pPr>
      <w:r>
        <w:lastRenderedPageBreak/>
        <w:t>4. Закрытие обязательств и сохранение знаний</w:t>
      </w:r>
    </w:p>
    <w:p w14:paraId="0157C1E4" w14:textId="77777777" w:rsidR="006466B6" w:rsidRDefault="00000000">
      <w:r>
        <w:t>План закрытия включает результаты, доступы, договоренности, данные, финансовые расчеты и открытые риски. По каждому пункту назначают владельца и свидетельство выполнения. Архив без структуры и ответственного может оказаться бесполезным уже через несколько месяцев.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520"/>
      </w:tblGrid>
      <w:tr w:rsidR="006466B6" w14:paraId="5DF9F41B" w14:textId="77777777">
        <w:trPr>
          <w:cantSplit/>
          <w:tblHeader/>
          <w:jc w:val="center"/>
        </w:trPr>
        <w:tc>
          <w:tcPr>
            <w:tcW w:w="3005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EB6069F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Элемент закрытия</w:t>
            </w:r>
          </w:p>
        </w:tc>
        <w:tc>
          <w:tcPr>
            <w:tcW w:w="6520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828BD7B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Проверяемый результат</w:t>
            </w:r>
          </w:p>
        </w:tc>
      </w:tr>
      <w:tr w:rsidR="006466B6" w14:paraId="44D73D44" w14:textId="77777777">
        <w:trPr>
          <w:cantSplit/>
          <w:jc w:val="center"/>
        </w:trPr>
        <w:tc>
          <w:tcPr>
            <w:tcW w:w="300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9169EDA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Приемка</w:t>
            </w:r>
          </w:p>
        </w:tc>
        <w:tc>
          <w:tcPr>
            <w:tcW w:w="6520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3D8F260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Список принятых результатов и исключений</w:t>
            </w:r>
          </w:p>
        </w:tc>
      </w:tr>
      <w:tr w:rsidR="006466B6" w14:paraId="222F4236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056453A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Договоренности</w:t>
            </w:r>
          </w:p>
        </w:tc>
        <w:tc>
          <w:tcPr>
            <w:tcW w:w="652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8AA8EA5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Остаточные действия согласованы с владельцами</w:t>
            </w:r>
          </w:p>
        </w:tc>
      </w:tr>
      <w:tr w:rsidR="006466B6" w14:paraId="5CC36E9B" w14:textId="77777777">
        <w:trPr>
          <w:cantSplit/>
          <w:jc w:val="center"/>
        </w:trPr>
        <w:tc>
          <w:tcPr>
            <w:tcW w:w="300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A0BC52C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Доступ</w:t>
            </w:r>
          </w:p>
        </w:tc>
        <w:tc>
          <w:tcPr>
            <w:tcW w:w="6520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097DB44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Лишние права отозваны, необходимые переданы</w:t>
            </w:r>
          </w:p>
        </w:tc>
      </w:tr>
      <w:tr w:rsidR="006466B6" w14:paraId="276D1B58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0772546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Документация</w:t>
            </w:r>
          </w:p>
        </w:tc>
        <w:tc>
          <w:tcPr>
            <w:tcW w:w="652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5DDC221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Актуальные версии доступны уполномоченным</w:t>
            </w:r>
          </w:p>
        </w:tc>
      </w:tr>
      <w:tr w:rsidR="006466B6" w14:paraId="299395C6" w14:textId="77777777">
        <w:trPr>
          <w:cantSplit/>
          <w:jc w:val="center"/>
        </w:trPr>
        <w:tc>
          <w:tcPr>
            <w:tcW w:w="300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FBED104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Ресурсы</w:t>
            </w:r>
          </w:p>
        </w:tc>
        <w:tc>
          <w:tcPr>
            <w:tcW w:w="6520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6655C51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Понятно, что прекращается и что оплачивается далее</w:t>
            </w:r>
          </w:p>
        </w:tc>
      </w:tr>
      <w:tr w:rsidR="006466B6" w14:paraId="58AFEC43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DE59AA2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Уроки</w:t>
            </w:r>
          </w:p>
        </w:tc>
        <w:tc>
          <w:tcPr>
            <w:tcW w:w="652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C69FA31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Выводы связаны с фактами и будущими действиями</w:t>
            </w:r>
          </w:p>
        </w:tc>
      </w:tr>
    </w:tbl>
    <w:p w14:paraId="7007A499" w14:textId="77777777" w:rsidR="006466B6" w:rsidRDefault="006466B6">
      <w:pPr>
        <w:spacing w:after="20" w:line="36" w:lineRule="auto"/>
      </w:pPr>
    </w:p>
    <w:p w14:paraId="70426EC0" w14:textId="77777777" w:rsidR="006466B6" w:rsidRDefault="00000000">
      <w:pPr>
        <w:pStyle w:val="21"/>
      </w:pPr>
      <w:r>
        <w:t>Ретроспектива и разбор без поиска удобного виновного</w:t>
      </w:r>
    </w:p>
    <w:p w14:paraId="3F9FAE9E" w14:textId="77777777" w:rsidR="006466B6" w:rsidRDefault="00000000">
      <w:r>
        <w:t>Подход Google SRE к разбору инцидентов акцентирует обучение и улучшение системы [2]. В итоговом проектном обсуждении полезна сходная логика: какие условия привели к решениям, какие сигналы пропустили и какое изменение процесса предотвращает повторение. Это не означает отсутствия ответственности.</w:t>
      </w:r>
    </w:p>
    <w:p w14:paraId="6BFAA868" w14:textId="77777777" w:rsidR="006466B6" w:rsidRDefault="00000000">
      <w:r>
        <w:t>Урок «нужно лучше общаться» слишком общий. Проверяемое улучшение звучит конкретнее: каждое изменение интерфейса согласуется с владельцем интеграции до включения в выпуск. Указаны действие, момент и участники. Следующий проект сможет проверить выполнение.</w:t>
      </w:r>
    </w:p>
    <w:p w14:paraId="0A1B82CA" w14:textId="77777777" w:rsidR="006466B6" w:rsidRDefault="00000000">
      <w:r>
        <w:t>В итоговом архиве сохраняют исходные гипотезы, версии планов, принятые решения и ограничения данных. Не следует публиковать конфиденциальные материалы ради демонстрации полноты портфолио. Учебный архив может состоять исключительно из синтетических документов.</w:t>
      </w:r>
    </w:p>
    <w:p w14:paraId="5C752D2A" w14:textId="77777777" w:rsidR="006466B6" w:rsidRDefault="00000000">
      <w:r>
        <w:br w:type="page"/>
      </w:r>
    </w:p>
    <w:p w14:paraId="16527D6D" w14:textId="77777777" w:rsidR="006466B6" w:rsidRDefault="00000000">
      <w:pPr>
        <w:pStyle w:val="1"/>
      </w:pPr>
      <w:r>
        <w:lastRenderedPageBreak/>
        <w:t>5. Выгоды после завершения проекта</w:t>
      </w:r>
    </w:p>
    <w:p w14:paraId="75A277EA" w14:textId="77777777" w:rsidR="006466B6" w:rsidRDefault="00000000">
      <w:r>
        <w:t>Проект может закончиться раньше, чем появятся все ожидаемые выгоды. Поэтому при передаче назначают владельца измерения, даты, исходный уровень и условия сравнения. После ухода временной команды эта работа не должна исчезать из ответственности организации.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3912"/>
        <w:gridCol w:w="2551"/>
      </w:tblGrid>
      <w:tr w:rsidR="006466B6" w14:paraId="1EBD93DD" w14:textId="77777777">
        <w:trPr>
          <w:cantSplit/>
          <w:tblHeader/>
          <w:jc w:val="center"/>
        </w:trPr>
        <w:tc>
          <w:tcPr>
            <w:tcW w:w="3061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4DF4A7C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Гипотеза выгоды</w:t>
            </w:r>
          </w:p>
        </w:tc>
        <w:tc>
          <w:tcPr>
            <w:tcW w:w="3912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5396844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Показатель</w:t>
            </w:r>
          </w:p>
        </w:tc>
        <w:tc>
          <w:tcPr>
            <w:tcW w:w="2551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661BDDC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Ответственность</w:t>
            </w:r>
          </w:p>
        </w:tc>
      </w:tr>
      <w:tr w:rsidR="006466B6" w14:paraId="2A5C71EB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9DE5156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Меньше ручных уточнений</w:t>
            </w:r>
          </w:p>
        </w:tc>
        <w:tc>
          <w:tcPr>
            <w:tcW w:w="391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0E33819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Обращения по статусу на 100 заявок</w:t>
            </w:r>
          </w:p>
        </w:tc>
        <w:tc>
          <w:tcPr>
            <w:tcW w:w="255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7EBC11D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Владелец процесса</w:t>
            </w:r>
          </w:p>
        </w:tc>
      </w:tr>
      <w:tr w:rsidR="006466B6" w14:paraId="65449141" w14:textId="77777777">
        <w:trPr>
          <w:cantSplit/>
          <w:jc w:val="center"/>
        </w:trPr>
        <w:tc>
          <w:tcPr>
            <w:tcW w:w="306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78B0BEE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Быстрее обработка</w:t>
            </w:r>
          </w:p>
        </w:tc>
        <w:tc>
          <w:tcPr>
            <w:tcW w:w="391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C556ED8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Время до корректного подтверждения</w:t>
            </w:r>
          </w:p>
        </w:tc>
        <w:tc>
          <w:tcPr>
            <w:tcW w:w="255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48A35F4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Операционный руководитель</w:t>
            </w:r>
          </w:p>
        </w:tc>
      </w:tr>
      <w:tr w:rsidR="006466B6" w14:paraId="135C57F8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2854C9F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Меньше конфликтов</w:t>
            </w:r>
          </w:p>
        </w:tc>
        <w:tc>
          <w:tcPr>
            <w:tcW w:w="391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ED939B8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Ошибочные пересечения на 100 бронирований</w:t>
            </w:r>
          </w:p>
        </w:tc>
        <w:tc>
          <w:tcPr>
            <w:tcW w:w="255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E88060A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Владелец сервиса</w:t>
            </w:r>
          </w:p>
        </w:tc>
      </w:tr>
      <w:tr w:rsidR="006466B6" w14:paraId="42AB378A" w14:textId="77777777">
        <w:trPr>
          <w:cantSplit/>
          <w:jc w:val="center"/>
        </w:trPr>
        <w:tc>
          <w:tcPr>
            <w:tcW w:w="306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8A7909F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Удобнее пользователю</w:t>
            </w:r>
          </w:p>
        </w:tc>
        <w:tc>
          <w:tcPr>
            <w:tcW w:w="391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F640133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Самостоятельное выполнение сценария</w:t>
            </w:r>
          </w:p>
        </w:tc>
        <w:tc>
          <w:tcPr>
            <w:tcW w:w="255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A8EC869" w14:textId="77777777" w:rsidR="006466B6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Ответственный за исследование</w:t>
            </w:r>
          </w:p>
        </w:tc>
      </w:tr>
    </w:tbl>
    <w:p w14:paraId="3D7E8957" w14:textId="77777777" w:rsidR="006466B6" w:rsidRDefault="006466B6">
      <w:pPr>
        <w:spacing w:after="20" w:line="36" w:lineRule="auto"/>
      </w:pPr>
    </w:p>
    <w:p w14:paraId="3A67B123" w14:textId="77777777" w:rsidR="006466B6" w:rsidRDefault="00000000">
      <w:pPr>
        <w:pStyle w:val="21"/>
      </w:pPr>
      <w:r>
        <w:t>Не подменять эффект наблюдаемым изменением</w:t>
      </w:r>
    </w:p>
    <w:p w14:paraId="37036016" w14:textId="77777777" w:rsidR="006466B6" w:rsidRDefault="00000000">
      <w:r>
        <w:t>Если после запуска число обращений снизилось, нужно проверить объем заявок и доступность поддержки. Меньше обращений при исчезнувшем канале помощи не означает улучшение. Сравнение сохраняет одинаковые определения и учитывает изменение аудитории и нагрузки.</w:t>
      </w:r>
    </w:p>
    <w:p w14:paraId="1789F3B4" w14:textId="77777777" w:rsidR="006466B6" w:rsidRDefault="00000000">
      <w:r>
        <w:t>Выгода может реализоваться частично. Тогда отчет должен объяснить, что принято и используется, какой результат наблюдается, какие допущения не подтвердились и какое действие предлагается. Оценка не обязана быть только положительной; ее задача — направлять следующие решения.</w:t>
      </w:r>
    </w:p>
    <w:p w14:paraId="2256ED5A" w14:textId="77777777" w:rsidR="006466B6" w:rsidRDefault="00000000">
      <w:r>
        <w:t>Итоговое досье связывает цепочку: проблема — данные — решение — требования — план — качество — запуск — результат. Если из документа невозможно восстановить эту связь, большое количество приложений не делает проект обоснованным.</w:t>
      </w:r>
    </w:p>
    <w:p w14:paraId="7BDC4891" w14:textId="77777777" w:rsidR="006466B6" w:rsidRDefault="00000000">
      <w:r>
        <w:br w:type="page"/>
      </w:r>
    </w:p>
    <w:p w14:paraId="4CD8EFB1" w14:textId="77777777" w:rsidR="006466B6" w:rsidRDefault="00000000">
      <w:pPr>
        <w:pStyle w:val="1"/>
      </w:pPr>
      <w:r>
        <w:lastRenderedPageBreak/>
        <w:t>6. Итоговый проект курса и самопроверка</w:t>
      </w:r>
    </w:p>
    <w:p w14:paraId="39702D72" w14:textId="77777777" w:rsidR="006466B6" w:rsidRDefault="00000000">
      <w:pPr>
        <w:pStyle w:val="21"/>
      </w:pPr>
      <w:r>
        <w:t>Задание: досье цифрового проекта</w:t>
      </w:r>
    </w:p>
    <w:p w14:paraId="1F8C4795" w14:textId="77777777" w:rsidR="006466B6" w:rsidRDefault="00000000">
      <w:r>
        <w:t>Соберите материалы «Кампус Ресурса» или согласованного учебного объекта. Представьте проблему и аудиторию; результаты discovery; цели и границы; бэклог и приемку; роли и способ работы; план зависимостей и бюджета; архитектурное решение; риски, качество и запуск; метрики, передачу и условия завершения.</w:t>
      </w:r>
    </w:p>
    <w:p w14:paraId="63A2D872" w14:textId="77777777" w:rsidR="006466B6" w:rsidRDefault="00000000">
      <w:r>
        <w:t>Подготовьте связный отчет на 10–12 страниц плюс необходимые приложения и краткую устную или записанную защиту. Из прежних работ выбирайте согласованные версии, не складывайте их механически. Добавьте два реальных кейса с источниками и объясните границы переноса. Нереализованный проект оценивается по обоснованности плана, а не по вымышленным результатам.</w:t>
      </w:r>
    </w:p>
    <w:p w14:paraId="79568BE4" w14:textId="77777777" w:rsidR="006466B6" w:rsidRDefault="00000000">
      <w:pPr>
        <w:pStyle w:val="21"/>
      </w:pPr>
      <w:r>
        <w:t>Критерии оценивания: 100 баллов</w:t>
      </w:r>
    </w:p>
    <w:p w14:paraId="08419B0C" w14:textId="77777777" w:rsidR="006466B6" w:rsidRDefault="00000000">
      <w:r>
        <w:t>Проблема и доказательства — 15; содержание, план и ресурсы — 20; требования и технические решения — 15; риски, качество и запуск — 20; метрики и выгоды — 20; источники и защита — 10.</w:t>
      </w:r>
    </w:p>
    <w:p w14:paraId="57E5E084" w14:textId="77777777" w:rsidR="006466B6" w:rsidRDefault="00000000">
      <w:pPr>
        <w:pStyle w:val="21"/>
      </w:pPr>
      <w:r>
        <w:t>Вопросы с ответами-ориентирами</w:t>
      </w:r>
    </w:p>
    <w:p w14:paraId="28E31AE5" w14:textId="77777777" w:rsidR="006466B6" w:rsidRDefault="00000000">
      <w:r>
        <w:t>1. Почему освоенный бюджет не доказывает успех? Ориентир: затраты не подтверждают приемку и полезность результата.</w:t>
      </w:r>
    </w:p>
    <w:p w14:paraId="2B8B8F18" w14:textId="77777777" w:rsidR="006466B6" w:rsidRDefault="00000000">
      <w:r>
        <w:t>2. Как относиться к уже потраченным средствам? Ориентир: учитывать историю, но сравнивать будущие варианты по их последствиям.</w:t>
      </w:r>
    </w:p>
    <w:p w14:paraId="23FD65A2" w14:textId="77777777" w:rsidR="006466B6" w:rsidRDefault="00000000">
      <w:r>
        <w:t>3. Почему закрытие требует отдельного плана? Ориентир: сохраняются обязательства, данные, доступы и ответственность.</w:t>
      </w:r>
    </w:p>
    <w:p w14:paraId="4B30D07E" w14:textId="77777777" w:rsidR="006466B6" w:rsidRDefault="00000000">
      <w:r>
        <w:t>4. Кто проверяет выгоды после проекта? Ориентир: заранее назначенный владелец с согласованными данными и датами.</w:t>
      </w:r>
    </w:p>
    <w:p w14:paraId="2ABB470B" w14:textId="77777777" w:rsidR="006466B6" w:rsidRDefault="00000000">
      <w:pPr>
        <w:pStyle w:val="Callout"/>
        <w:pBdr>
          <w:left w:val="single" w:sz="16" w:space="8" w:color="246A73"/>
        </w:pBdr>
        <w:shd w:val="clear" w:color="auto" w:fill="EDF4F5"/>
      </w:pPr>
      <w:r>
        <w:t>Сильная защита объясняет не только выбранный вариант, но и отвергнутые альтернативы, неизвестное и условия пересмотра.</w:t>
      </w:r>
    </w:p>
    <w:p w14:paraId="6DA13F98" w14:textId="77777777" w:rsidR="006466B6" w:rsidRDefault="00000000">
      <w:r>
        <w:br w:type="page"/>
      </w:r>
    </w:p>
    <w:p w14:paraId="5E1198D0" w14:textId="77777777" w:rsidR="006466B6" w:rsidRDefault="00000000">
      <w:pPr>
        <w:pStyle w:val="1"/>
      </w:pPr>
      <w:r>
        <w:lastRenderedPageBreak/>
        <w:t>Итоги, понятия и источники</w:t>
      </w:r>
    </w:p>
    <w:p w14:paraId="6420414C" w14:textId="77777777" w:rsidR="006466B6" w:rsidRDefault="00000000">
      <w:r>
        <w:t>Интегрированное управление связывает решения с ценностью и ограничениями на всем жизненном цикле. Объявление о Stadia позволяет обсудить ответственное завершение без догадок о внутренней экономике. Итог курса — проверяемое досье проекта, в котором реальные источники, учебные расчеты и будущие гипотезы явно разделены.</w:t>
      </w:r>
    </w:p>
    <w:p w14:paraId="4475E35D" w14:textId="77777777" w:rsidR="006466B6" w:rsidRDefault="00000000">
      <w:pPr>
        <w:pStyle w:val="21"/>
      </w:pPr>
      <w:r>
        <w:t>Мини-глоссарий</w:t>
      </w:r>
    </w:p>
    <w:p w14:paraId="79A0500E" w14:textId="77777777" w:rsidR="006466B6" w:rsidRDefault="00000000">
      <w:pPr>
        <w:spacing w:after="80"/>
      </w:pPr>
      <w:r>
        <w:rPr>
          <w:b/>
        </w:rPr>
        <w:t>Контрольная точка.</w:t>
      </w:r>
      <w:r>
        <w:t xml:space="preserve"> Момент проверки оснований для дальнейшего решения.</w:t>
      </w:r>
    </w:p>
    <w:p w14:paraId="162C3129" w14:textId="77777777" w:rsidR="006466B6" w:rsidRDefault="00000000">
      <w:pPr>
        <w:spacing w:after="80"/>
      </w:pPr>
      <w:r>
        <w:rPr>
          <w:b/>
        </w:rPr>
        <w:t>Понесенные затраты.</w:t>
      </w:r>
      <w:r>
        <w:t xml:space="preserve"> Уже осуществленные расходы, не возвращаемые новым решением сами по себе.</w:t>
      </w:r>
    </w:p>
    <w:p w14:paraId="38669FFA" w14:textId="77777777" w:rsidR="006466B6" w:rsidRDefault="00000000">
      <w:pPr>
        <w:spacing w:after="80"/>
      </w:pPr>
      <w:r>
        <w:rPr>
          <w:b/>
        </w:rPr>
        <w:t>Поворот проекта.</w:t>
      </w:r>
      <w:r>
        <w:t xml:space="preserve"> Обоснованное изменение способа решения или границ.</w:t>
      </w:r>
    </w:p>
    <w:p w14:paraId="5414087E" w14:textId="77777777" w:rsidR="006466B6" w:rsidRDefault="00000000">
      <w:pPr>
        <w:spacing w:after="80"/>
      </w:pPr>
      <w:r>
        <w:rPr>
          <w:b/>
        </w:rPr>
        <w:t>Закрытие.</w:t>
      </w:r>
      <w:r>
        <w:t xml:space="preserve"> Управляемое завершение результатов и обязательств.</w:t>
      </w:r>
    </w:p>
    <w:p w14:paraId="1F96BF57" w14:textId="77777777" w:rsidR="006466B6" w:rsidRDefault="00000000">
      <w:pPr>
        <w:spacing w:after="80"/>
      </w:pPr>
      <w:r>
        <w:rPr>
          <w:b/>
        </w:rPr>
        <w:t>Владелец выгод.</w:t>
      </w:r>
      <w:r>
        <w:t xml:space="preserve"> Ответственный за последующую проверку полезного результата.</w:t>
      </w:r>
    </w:p>
    <w:p w14:paraId="75371FDA" w14:textId="77777777" w:rsidR="006466B6" w:rsidRDefault="00000000">
      <w:pPr>
        <w:spacing w:after="80"/>
      </w:pPr>
      <w:r>
        <w:rPr>
          <w:b/>
        </w:rPr>
        <w:t>Урок проекта.</w:t>
      </w:r>
      <w:r>
        <w:t xml:space="preserve"> Вывод из фактов, преобразованный в конкретное будущее действие.</w:t>
      </w:r>
    </w:p>
    <w:p w14:paraId="5ECDF7B0" w14:textId="77777777" w:rsidR="006466B6" w:rsidRPr="00410EB9" w:rsidRDefault="00000000">
      <w:pPr>
        <w:pStyle w:val="21"/>
        <w:rPr>
          <w:lang w:val="en-US"/>
        </w:rPr>
      </w:pPr>
      <w:r>
        <w:t>Источники</w:t>
      </w:r>
      <w:r w:rsidRPr="00410EB9">
        <w:rPr>
          <w:lang w:val="en-US"/>
        </w:rPr>
        <w:t xml:space="preserve"> </w:t>
      </w:r>
      <w:r>
        <w:t>и</w:t>
      </w:r>
      <w:r w:rsidRPr="00410EB9">
        <w:rPr>
          <w:lang w:val="en-US"/>
        </w:rPr>
        <w:t xml:space="preserve"> </w:t>
      </w:r>
      <w:r>
        <w:t>практическое</w:t>
      </w:r>
      <w:r w:rsidRPr="00410EB9">
        <w:rPr>
          <w:lang w:val="en-US"/>
        </w:rPr>
        <w:t xml:space="preserve"> </w:t>
      </w:r>
      <w:r>
        <w:t>чтение</w:t>
      </w:r>
    </w:p>
    <w:p w14:paraId="1EA400C4" w14:textId="77777777" w:rsidR="006466B6" w:rsidRPr="00410EB9" w:rsidRDefault="00000000">
      <w:pPr>
        <w:spacing w:line="252" w:lineRule="auto"/>
        <w:rPr>
          <w:lang w:val="en-US"/>
        </w:rPr>
      </w:pPr>
      <w:r w:rsidRPr="00410EB9">
        <w:rPr>
          <w:rFonts w:ascii="Arial" w:eastAsia="Arial" w:hAnsi="Arial" w:cs="Arial"/>
          <w:color w:val="19354A"/>
          <w:sz w:val="21"/>
          <w:lang w:val="en-US"/>
        </w:rPr>
        <w:t xml:space="preserve">[1] </w:t>
      </w:r>
      <w:hyperlink r:id="rId8">
        <w:r w:rsidRPr="00410EB9">
          <w:rPr>
            <w:rFonts w:ascii="Arial" w:hAnsi="Arial"/>
            <w:color w:val="246A73"/>
            <w:sz w:val="21"/>
            <w:u w:val="single"/>
            <w:lang w:val="en-US"/>
          </w:rPr>
          <w:t xml:space="preserve">Phil Harrison / Google. A message about Stadia and our </w:t>
        </w:r>
        <w:proofErr w:type="gramStart"/>
        <w:r w:rsidRPr="00410EB9">
          <w:rPr>
            <w:rFonts w:ascii="Arial" w:hAnsi="Arial"/>
            <w:color w:val="246A73"/>
            <w:sz w:val="21"/>
            <w:u w:val="single"/>
            <w:lang w:val="en-US"/>
          </w:rPr>
          <w:t>long term</w:t>
        </w:r>
        <w:proofErr w:type="gramEnd"/>
        <w:r w:rsidRPr="00410EB9">
          <w:rPr>
            <w:rFonts w:ascii="Arial" w:hAnsi="Arial"/>
            <w:color w:val="246A73"/>
            <w:sz w:val="21"/>
            <w:u w:val="single"/>
            <w:lang w:val="en-US"/>
          </w:rPr>
          <w:t xml:space="preserve"> streaming strategy. 29.09.2022.</w:t>
        </w:r>
      </w:hyperlink>
    </w:p>
    <w:p w14:paraId="2A539BEE" w14:textId="6B8A4766" w:rsidR="006466B6" w:rsidRDefault="00000000" w:rsidP="00410EB9">
      <w:pPr>
        <w:spacing w:line="252" w:lineRule="auto"/>
      </w:pPr>
      <w:r w:rsidRPr="00410EB9">
        <w:rPr>
          <w:rFonts w:ascii="Arial" w:eastAsia="Arial" w:hAnsi="Arial" w:cs="Arial"/>
          <w:color w:val="19354A"/>
          <w:sz w:val="21"/>
          <w:lang w:val="en-US"/>
        </w:rPr>
        <w:t xml:space="preserve">[2] </w:t>
      </w:r>
      <w:hyperlink r:id="rId9">
        <w:r w:rsidRPr="00410EB9">
          <w:rPr>
            <w:rFonts w:ascii="Arial" w:hAnsi="Arial"/>
            <w:color w:val="246A73"/>
            <w:sz w:val="21"/>
            <w:u w:val="single"/>
            <w:lang w:val="en-US"/>
          </w:rPr>
          <w:t>Google SRE Book. Postmortem Culture: Learning from Failure.</w:t>
        </w:r>
      </w:hyperlink>
      <w:r w:rsidRPr="00410EB9">
        <w:rPr>
          <w:rFonts w:ascii="Arial" w:eastAsia="Arial" w:hAnsi="Arial" w:cs="Arial"/>
          <w:color w:val="596772"/>
          <w:sz w:val="20"/>
          <w:lang w:val="en-US"/>
        </w:rPr>
        <w:t xml:space="preserve"> </w:t>
      </w:r>
    </w:p>
    <w:sectPr w:rsidR="006466B6" w:rsidSect="00034616">
      <w:headerReference w:type="default" r:id="rId10"/>
      <w:footerReference w:type="default" r:id="rId11"/>
      <w:pgSz w:w="11906" w:h="16838"/>
      <w:pgMar w:top="1162" w:right="1191" w:bottom="1077" w:left="1191" w:header="510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A01EF" w14:textId="77777777" w:rsidR="0014060B" w:rsidRDefault="0014060B">
      <w:pPr>
        <w:spacing w:after="0" w:line="240" w:lineRule="auto"/>
      </w:pPr>
      <w:r>
        <w:separator/>
      </w:r>
    </w:p>
  </w:endnote>
  <w:endnote w:type="continuationSeparator" w:id="0">
    <w:p w14:paraId="2F7635C9" w14:textId="77777777" w:rsidR="0014060B" w:rsidRDefault="00140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E569" w14:textId="62CC77CF" w:rsidR="006466B6" w:rsidRDefault="006466B6">
    <w:pPr>
      <w:tabs>
        <w:tab w:val="right" w:pos="952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794AD" w14:textId="77777777" w:rsidR="0014060B" w:rsidRDefault="0014060B">
      <w:pPr>
        <w:spacing w:after="0" w:line="240" w:lineRule="auto"/>
      </w:pPr>
      <w:r>
        <w:separator/>
      </w:r>
    </w:p>
  </w:footnote>
  <w:footnote w:type="continuationSeparator" w:id="0">
    <w:p w14:paraId="3AAC91FD" w14:textId="77777777" w:rsidR="0014060B" w:rsidRDefault="00140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57C5E" w14:textId="2A0D7EF6" w:rsidR="006466B6" w:rsidRDefault="006466B6">
    <w:pPr>
      <w:pBdr>
        <w:bottom w:val="single" w:sz="4" w:space="0" w:color="D6DFE4"/>
      </w:pBdr>
      <w:tabs>
        <w:tab w:val="right" w:pos="9524"/>
      </w:tabs>
      <w:spacing w:after="1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9854493">
    <w:abstractNumId w:val="8"/>
  </w:num>
  <w:num w:numId="2" w16cid:durableId="1960532106">
    <w:abstractNumId w:val="6"/>
  </w:num>
  <w:num w:numId="3" w16cid:durableId="868445215">
    <w:abstractNumId w:val="5"/>
  </w:num>
  <w:num w:numId="4" w16cid:durableId="630867688">
    <w:abstractNumId w:val="4"/>
  </w:num>
  <w:num w:numId="5" w16cid:durableId="1214583148">
    <w:abstractNumId w:val="7"/>
  </w:num>
  <w:num w:numId="6" w16cid:durableId="1231697287">
    <w:abstractNumId w:val="3"/>
  </w:num>
  <w:num w:numId="7" w16cid:durableId="1525365021">
    <w:abstractNumId w:val="2"/>
  </w:num>
  <w:num w:numId="8" w16cid:durableId="1005985081">
    <w:abstractNumId w:val="1"/>
  </w:num>
  <w:num w:numId="9" w16cid:durableId="807820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7858"/>
    <w:rsid w:val="0014060B"/>
    <w:rsid w:val="0015074B"/>
    <w:rsid w:val="0029639D"/>
    <w:rsid w:val="00326F90"/>
    <w:rsid w:val="00410EB9"/>
    <w:rsid w:val="006466B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237E7D"/>
  <w14:defaultImageDpi w14:val="300"/>
  <w15:docId w15:val="{2725F6C1-A4C2-4582-9067-23018FE4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78" w:lineRule="auto"/>
    </w:pPr>
    <w:rPr>
      <w:rFonts w:ascii="Times New Roman" w:hAnsi="Times New Roman" w:cs="Times New Roman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52" w:lineRule="auto"/>
      <w:outlineLvl w:val="0"/>
    </w:pPr>
    <w:rPr>
      <w:rFonts w:asciiTheme="majorHAnsi" w:eastAsiaTheme="majorEastAsia" w:hAnsiTheme="majorHAnsi" w:cstheme="majorBidi"/>
      <w:b/>
      <w:bCs/>
      <w:color w:val="19354A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160" w:line="252" w:lineRule="auto"/>
      <w:outlineLvl w:val="1"/>
    </w:pPr>
    <w:rPr>
      <w:rFonts w:asciiTheme="majorHAnsi" w:eastAsiaTheme="majorEastAsia" w:hAnsiTheme="majorHAnsi" w:cstheme="majorBidi"/>
      <w:b/>
      <w:bCs/>
      <w:color w:val="246A73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52" w:lineRule="auto"/>
      <w:contextualSpacing/>
    </w:pPr>
    <w:rPr>
      <w:rFonts w:asciiTheme="majorHAnsi" w:eastAsiaTheme="majorEastAsia" w:hAnsiTheme="majorHAnsi" w:cstheme="majorBidi"/>
      <w:b/>
      <w:color w:val="19354A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basedOn w:val="a1"/>
    <w:pPr>
      <w:keepLines/>
      <w:spacing w:before="100" w:after="180" w:line="264" w:lineRule="auto"/>
      <w:ind w:left="142" w:right="85"/>
    </w:pPr>
    <w:rPr>
      <w:rFonts w:ascii="Arial" w:hAnsi="Arial" w:cs="Arial"/>
      <w:color w:val="19354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google/products-and-platforms/products/stadia/message-on-stadia-streaming-strategy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re.google/sre-book/postmortem-cultu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1610</Words>
  <Characters>9182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Интегрированное управление, завершение проекта и реализация выгод</dc:title>
  <dc:subject>Управление цифровыми проектами — лекция 15</dc:subject>
  <dc:creator>Учебные материалы</dc:creator>
  <cp:keywords>цифровой проект; бакалавриат; дистанционное обучение; кейсы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2026-09-28T15:08:00Z</dcterms:modified>
  <cp:category/>
  <dc:language>ru-RU</dc:language>
</cp:coreProperties>
</file>