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11BE45" w14:textId="77777777" w:rsidR="00C72AEA" w:rsidRDefault="00000000">
      <w:pPr>
        <w:pStyle w:val="aa"/>
      </w:pPr>
      <w:r>
        <w:t>Запуск, миграция, внедрение и управление изменениями</w:t>
      </w:r>
    </w:p>
    <w:p w14:paraId="19CEA063" w14:textId="77777777" w:rsidR="00C72AEA" w:rsidRDefault="00000000">
      <w:pPr>
        <w:pStyle w:val="1"/>
      </w:pPr>
      <w:r>
        <w:t>1. Подготовка запуска как отдельной работы</w:t>
      </w:r>
    </w:p>
    <w:p w14:paraId="26EBACAA" w14:textId="77777777" w:rsidR="00C72AEA" w:rsidRDefault="00000000">
      <w:r>
        <w:t>Технический выпуск делает версию доступной в определенной среде. Запуск открывает согласованный способ получения услуги. Внедрение означает переход людей и организации к новому порядку работы. Эти события могут происходить в разные моменты: обучение и подготовка поддержки начинаются до публичного открытия, а корректировка процесса продолжается после него.</w:t>
      </w:r>
    </w:p>
    <w:p w14:paraId="3A4BC02A" w14:textId="77777777" w:rsidR="00C72AEA" w:rsidRDefault="00000000">
      <w:r>
        <w:t>В руководстве GOV.UK этап beta связан с развитием и проверкой сервиса с пользователями; различаются ограниченная и более широкая доступность [2]. Для учебного проекта это ориентир последовательности, а не обязательная организационная схема. Масштаб расширяют по готовности, а не только по наступлению календарной даты.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98"/>
        <w:gridCol w:w="3798"/>
        <w:gridCol w:w="3628"/>
      </w:tblGrid>
      <w:tr w:rsidR="00C72AEA" w14:paraId="7AF20B97" w14:textId="77777777">
        <w:trPr>
          <w:cantSplit/>
          <w:tblHeader/>
          <w:jc w:val="center"/>
        </w:trPr>
        <w:tc>
          <w:tcPr>
            <w:tcW w:w="2098" w:type="dxa"/>
            <w:shd w:val="clear" w:color="auto" w:fill="19354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0717CCE6" w14:textId="77777777" w:rsidR="00C72AEA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Направление</w:t>
            </w:r>
          </w:p>
        </w:tc>
        <w:tc>
          <w:tcPr>
            <w:tcW w:w="3798" w:type="dxa"/>
            <w:shd w:val="clear" w:color="auto" w:fill="19354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371C4B87" w14:textId="77777777" w:rsidR="00C72AEA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Свидетельство готовности</w:t>
            </w:r>
          </w:p>
        </w:tc>
        <w:tc>
          <w:tcPr>
            <w:tcW w:w="3628" w:type="dxa"/>
            <w:shd w:val="clear" w:color="auto" w:fill="19354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538A47D1" w14:textId="77777777" w:rsidR="00C72AEA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Владелец в учебной модели</w:t>
            </w:r>
          </w:p>
        </w:tc>
      </w:tr>
      <w:tr w:rsidR="00C72AEA" w14:paraId="2751814C" w14:textId="77777777">
        <w:trPr>
          <w:cantSplit/>
          <w:jc w:val="center"/>
        </w:trPr>
        <w:tc>
          <w:tcPr>
            <w:tcW w:w="2098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32B3AAEC" w14:textId="77777777" w:rsidR="00C72AEA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Функции</w:t>
            </w:r>
          </w:p>
        </w:tc>
        <w:tc>
          <w:tcPr>
            <w:tcW w:w="3798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31B0FE5F" w14:textId="77777777" w:rsidR="00C72AEA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Критические сценарии приняты</w:t>
            </w:r>
          </w:p>
        </w:tc>
        <w:tc>
          <w:tcPr>
            <w:tcW w:w="3628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6E1B45CB" w14:textId="77777777" w:rsidR="00C72AEA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Владелец продукта</w:t>
            </w:r>
          </w:p>
        </w:tc>
      </w:tr>
      <w:tr w:rsidR="00C72AEA" w14:paraId="66BE31B0" w14:textId="77777777">
        <w:trPr>
          <w:cantSplit/>
          <w:jc w:val="center"/>
        </w:trPr>
        <w:tc>
          <w:tcPr>
            <w:tcW w:w="2098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7CDA0085" w14:textId="77777777" w:rsidR="00C72AEA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Данные</w:t>
            </w:r>
          </w:p>
        </w:tc>
        <w:tc>
          <w:tcPr>
            <w:tcW w:w="3798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5252EC32" w14:textId="77777777" w:rsidR="00C72AEA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Перенос и сверка проверены</w:t>
            </w:r>
          </w:p>
        </w:tc>
        <w:tc>
          <w:tcPr>
            <w:tcW w:w="3628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523C19FF" w14:textId="77777777" w:rsidR="00C72AEA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Ответственный за данные</w:t>
            </w:r>
          </w:p>
        </w:tc>
      </w:tr>
      <w:tr w:rsidR="00C72AEA" w14:paraId="174E1E86" w14:textId="77777777">
        <w:trPr>
          <w:cantSplit/>
          <w:jc w:val="center"/>
        </w:trPr>
        <w:tc>
          <w:tcPr>
            <w:tcW w:w="2098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298515EA" w14:textId="77777777" w:rsidR="00C72AEA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Операции</w:t>
            </w:r>
          </w:p>
        </w:tc>
        <w:tc>
          <w:tcPr>
            <w:tcW w:w="3798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71A677D7" w14:textId="77777777" w:rsidR="00C72AEA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Дежурство и маршрут обращения известны</w:t>
            </w:r>
          </w:p>
        </w:tc>
        <w:tc>
          <w:tcPr>
            <w:tcW w:w="3628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1A505809" w14:textId="77777777" w:rsidR="00C72AEA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Владелец сервиса</w:t>
            </w:r>
          </w:p>
        </w:tc>
      </w:tr>
      <w:tr w:rsidR="00C72AEA" w14:paraId="52706E91" w14:textId="77777777">
        <w:trPr>
          <w:cantSplit/>
          <w:jc w:val="center"/>
        </w:trPr>
        <w:tc>
          <w:tcPr>
            <w:tcW w:w="2098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2AF5B892" w14:textId="77777777" w:rsidR="00C72AEA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Пользователи</w:t>
            </w:r>
          </w:p>
        </w:tc>
        <w:tc>
          <w:tcPr>
            <w:tcW w:w="3798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2FB6943A" w14:textId="77777777" w:rsidR="00C72AEA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Инструкции проверены на задачах</w:t>
            </w:r>
          </w:p>
        </w:tc>
        <w:tc>
          <w:tcPr>
            <w:tcW w:w="3628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0A615116" w14:textId="77777777" w:rsidR="00C72AEA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Координатор внедрения</w:t>
            </w:r>
          </w:p>
        </w:tc>
      </w:tr>
      <w:tr w:rsidR="00C72AEA" w14:paraId="6E58B2FF" w14:textId="77777777">
        <w:trPr>
          <w:cantSplit/>
          <w:jc w:val="center"/>
        </w:trPr>
        <w:tc>
          <w:tcPr>
            <w:tcW w:w="2098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3E4E85A5" w14:textId="77777777" w:rsidR="00C72AEA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Возврат</w:t>
            </w:r>
          </w:p>
        </w:tc>
        <w:tc>
          <w:tcPr>
            <w:tcW w:w="3798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6569E407" w14:textId="77777777" w:rsidR="00C72AEA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Есть исполнимый резервный порядок</w:t>
            </w:r>
          </w:p>
        </w:tc>
        <w:tc>
          <w:tcPr>
            <w:tcW w:w="3628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2A5DDF9F" w14:textId="77777777" w:rsidR="00C72AEA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Технический руководитель</w:t>
            </w:r>
          </w:p>
        </w:tc>
      </w:tr>
    </w:tbl>
    <w:p w14:paraId="5BD7D17A" w14:textId="77777777" w:rsidR="00C72AEA" w:rsidRDefault="00C72AEA">
      <w:pPr>
        <w:spacing w:after="20" w:line="36" w:lineRule="auto"/>
      </w:pPr>
    </w:p>
    <w:p w14:paraId="018C2471" w14:textId="77777777" w:rsidR="00C72AEA" w:rsidRDefault="00000000">
      <w:pPr>
        <w:pStyle w:val="21"/>
      </w:pPr>
      <w:r>
        <w:t>Решение go / no-go</w:t>
      </w:r>
    </w:p>
    <w:p w14:paraId="785EC4D6" w14:textId="77777777" w:rsidR="00C72AEA" w:rsidRDefault="00000000">
      <w:r>
        <w:t>Перед запуском уполномоченный участник сопоставляет факты с критериями. Go означает разрешение на согласованный охват; no-go — перенос или ограничение до выполнения условий. Обещание «исправим потом» не заменяет выполнение обязательного требования. Допустимые незакрытые вопросы фиксируются вместе с ответственным и сроком.</w:t>
      </w:r>
    </w:p>
    <w:p w14:paraId="66B23203" w14:textId="77777777" w:rsidR="00C72AEA" w:rsidRDefault="00000000">
      <w:r>
        <w:t>В «Кампус Ресурсе» можно отложить декоративный отчет, но нельзя начать подтверждать бронирования при известной возможности двойной выдачи оборудования. Объем выпуска уменьшается, а существенные условия качества не переводятся незаметно в необязательные.</w:t>
      </w:r>
    </w:p>
    <w:p w14:paraId="5D359499" w14:textId="77777777" w:rsidR="00C72AEA" w:rsidRDefault="00000000">
      <w:r>
        <w:br w:type="page"/>
      </w:r>
    </w:p>
    <w:p w14:paraId="6B92A6EB" w14:textId="77777777" w:rsidR="00C72AEA" w:rsidRDefault="00000000">
      <w:pPr>
        <w:pStyle w:val="1"/>
      </w:pPr>
      <w:r>
        <w:lastRenderedPageBreak/>
        <w:t>2. Миграция: данные, переключение и сверка</w:t>
      </w:r>
    </w:p>
    <w:p w14:paraId="741A7071" w14:textId="77777777" w:rsidR="00C72AEA" w:rsidRDefault="00000000">
      <w:r>
        <w:t>Миграция — перенос согласованного объекта в новое состояние: записей, функций, пользователей или инфраструктуры. Она начинается с инвентаризации. Какие сведения нужны? Кто подтверждает их смысл? Что устарело? Какие записи нельзя переносить без дополнительного основания? Копирование всего доступного не является достаточной стратегией.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28"/>
        <w:gridCol w:w="3855"/>
        <w:gridCol w:w="3742"/>
      </w:tblGrid>
      <w:tr w:rsidR="00C72AEA" w14:paraId="7DFEFCBE" w14:textId="77777777">
        <w:trPr>
          <w:cantSplit/>
          <w:tblHeader/>
          <w:jc w:val="center"/>
        </w:trPr>
        <w:tc>
          <w:tcPr>
            <w:tcW w:w="1928" w:type="dxa"/>
            <w:shd w:val="clear" w:color="auto" w:fill="19354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35588E9F" w14:textId="77777777" w:rsidR="00C72AEA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Этап</w:t>
            </w:r>
          </w:p>
        </w:tc>
        <w:tc>
          <w:tcPr>
            <w:tcW w:w="3855" w:type="dxa"/>
            <w:shd w:val="clear" w:color="auto" w:fill="19354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21642F13" w14:textId="77777777" w:rsidR="00C72AEA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Учебная проверка</w:t>
            </w:r>
          </w:p>
        </w:tc>
        <w:tc>
          <w:tcPr>
            <w:tcW w:w="3742" w:type="dxa"/>
            <w:shd w:val="clear" w:color="auto" w:fill="19354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1B6EA00E" w14:textId="77777777" w:rsidR="00C72AEA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Типичная неопределенность</w:t>
            </w:r>
          </w:p>
        </w:tc>
      </w:tr>
      <w:tr w:rsidR="00C72AEA" w14:paraId="5CE3EBBE" w14:textId="77777777">
        <w:trPr>
          <w:cantSplit/>
          <w:jc w:val="center"/>
        </w:trPr>
        <w:tc>
          <w:tcPr>
            <w:tcW w:w="1928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3A33060D" w14:textId="77777777" w:rsidR="00C72AEA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Подготовить</w:t>
            </w:r>
          </w:p>
        </w:tc>
        <w:tc>
          <w:tcPr>
            <w:tcW w:w="3855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527BF278" w14:textId="77777777" w:rsidR="00C72AEA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Назвать поля и правила преобразования</w:t>
            </w:r>
          </w:p>
        </w:tc>
        <w:tc>
          <w:tcPr>
            <w:tcW w:w="3742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7811C5F3" w14:textId="77777777" w:rsidR="00C72AEA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Разные значения одного статуса</w:t>
            </w:r>
          </w:p>
        </w:tc>
      </w:tr>
      <w:tr w:rsidR="00C72AEA" w14:paraId="78DEBFD4" w14:textId="77777777">
        <w:trPr>
          <w:cantSplit/>
          <w:jc w:val="center"/>
        </w:trPr>
        <w:tc>
          <w:tcPr>
            <w:tcW w:w="1928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2ED7CA97" w14:textId="77777777" w:rsidR="00C72AEA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Репетировать</w:t>
            </w:r>
          </w:p>
        </w:tc>
        <w:tc>
          <w:tcPr>
            <w:tcW w:w="3855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2783D248" w14:textId="77777777" w:rsidR="00C72AEA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Перенести синтетический набор</w:t>
            </w:r>
          </w:p>
        </w:tc>
        <w:tc>
          <w:tcPr>
            <w:tcW w:w="3742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0726DC51" w14:textId="77777777" w:rsidR="00C72AEA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Неточная обработка пустого поля</w:t>
            </w:r>
          </w:p>
        </w:tc>
      </w:tr>
      <w:tr w:rsidR="00C72AEA" w14:paraId="45804A0D" w14:textId="77777777">
        <w:trPr>
          <w:cantSplit/>
          <w:jc w:val="center"/>
        </w:trPr>
        <w:tc>
          <w:tcPr>
            <w:tcW w:w="1928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14720EE5" w14:textId="77777777" w:rsidR="00C72AEA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Сверить</w:t>
            </w:r>
          </w:p>
        </w:tc>
        <w:tc>
          <w:tcPr>
            <w:tcW w:w="3855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76B229CD" w14:textId="77777777" w:rsidR="00C72AEA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Сравнить количество и смысл записей</w:t>
            </w:r>
          </w:p>
        </w:tc>
        <w:tc>
          <w:tcPr>
            <w:tcW w:w="3742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2BFA89AC" w14:textId="77777777" w:rsidR="00C72AEA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Совпали итоги, но перепутаны владельцы</w:t>
            </w:r>
          </w:p>
        </w:tc>
      </w:tr>
      <w:tr w:rsidR="00C72AEA" w14:paraId="36193225" w14:textId="77777777">
        <w:trPr>
          <w:cantSplit/>
          <w:jc w:val="center"/>
        </w:trPr>
        <w:tc>
          <w:tcPr>
            <w:tcW w:w="1928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65A5A1E6" w14:textId="77777777" w:rsidR="00C72AEA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Переключить</w:t>
            </w:r>
          </w:p>
        </w:tc>
        <w:tc>
          <w:tcPr>
            <w:tcW w:w="3855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1E40D1D8" w14:textId="77777777" w:rsidR="00C72AEA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Установить единственный источник записи</w:t>
            </w:r>
          </w:p>
        </w:tc>
        <w:tc>
          <w:tcPr>
            <w:tcW w:w="3742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37BF046A" w14:textId="77777777" w:rsidR="00C72AEA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Старый процесс продолжает изменять данные</w:t>
            </w:r>
          </w:p>
        </w:tc>
      </w:tr>
      <w:tr w:rsidR="00C72AEA" w14:paraId="1C0FA716" w14:textId="77777777">
        <w:trPr>
          <w:cantSplit/>
          <w:jc w:val="center"/>
        </w:trPr>
        <w:tc>
          <w:tcPr>
            <w:tcW w:w="1928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7FA594E6" w14:textId="77777777" w:rsidR="00C72AEA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Наблюдать</w:t>
            </w:r>
          </w:p>
        </w:tc>
        <w:tc>
          <w:tcPr>
            <w:tcW w:w="3855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0E4E2522" w14:textId="77777777" w:rsidR="00C72AEA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Проверить новые операции и ошибки</w:t>
            </w:r>
          </w:p>
        </w:tc>
        <w:tc>
          <w:tcPr>
            <w:tcW w:w="3742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66F33A47" w14:textId="77777777" w:rsidR="00C72AEA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Проблема обнаруживается лишь при отмене</w:t>
            </w:r>
          </w:p>
        </w:tc>
      </w:tr>
    </w:tbl>
    <w:p w14:paraId="1F89C30C" w14:textId="77777777" w:rsidR="00C72AEA" w:rsidRDefault="00C72AEA">
      <w:pPr>
        <w:spacing w:after="20" w:line="36" w:lineRule="auto"/>
      </w:pPr>
    </w:p>
    <w:p w14:paraId="030C64DA" w14:textId="77777777" w:rsidR="00C72AEA" w:rsidRDefault="00000000">
      <w:r>
        <w:t>Сверка количества необходима, но недостаточна. Тысяча исходных и тысяча новых строк могут различаться по связям и статусам. Нужны выборочные содержательные проверки, контроль обязательных полей и воспроизводимый журнал исключений. На реальных данных доступ получают только уполномоченные участники.</w:t>
      </w:r>
    </w:p>
    <w:p w14:paraId="0D85A93C" w14:textId="77777777" w:rsidR="00C72AEA" w:rsidRDefault="00000000">
      <w:pPr>
        <w:pStyle w:val="21"/>
      </w:pPr>
      <w:r>
        <w:t>Одномоментный и поэтапный переход</w:t>
      </w:r>
    </w:p>
    <w:p w14:paraId="5BBA1274" w14:textId="77777777" w:rsidR="00C72AEA" w:rsidRDefault="00000000">
      <w:r>
        <w:t>Одномоментное переключение сокращает период сосуществования систем, но увеличивает последствия ошибки. Поэтапное позволяет учиться на ограниченной области, однако усложняет синхронизацию. Универсально лучшего варианта нет: выбор зависит от зависимостей, обратимости и допустимого перерыва.</w:t>
      </w:r>
    </w:p>
    <w:p w14:paraId="0C62CAB4" w14:textId="77777777" w:rsidR="00C72AEA" w:rsidRDefault="00000000">
      <w:r>
        <w:t>Параллельная работа полезна только при понятном правиле записи. Если оператор одновременно подтверждает одну заявку в двух независимых журналах, создается новый риск. Для каждого периода указывают основной источник, допустимые ручные действия и способ последующей сверки.</w:t>
      </w:r>
    </w:p>
    <w:p w14:paraId="450717B5" w14:textId="77777777" w:rsidR="00C72AEA" w:rsidRDefault="00000000">
      <w:r>
        <w:br w:type="page"/>
      </w:r>
    </w:p>
    <w:p w14:paraId="3C255D0F" w14:textId="77777777" w:rsidR="00C72AEA" w:rsidRDefault="00000000">
      <w:pPr>
        <w:pStyle w:val="1"/>
      </w:pPr>
      <w:r>
        <w:lastRenderedPageBreak/>
        <w:t>3. Реальный кейс: семилетняя миграция Netflix</w:t>
      </w:r>
    </w:p>
    <w:p w14:paraId="006FEE48" w14:textId="77777777" w:rsidR="00C72AEA" w:rsidRDefault="00000000">
      <w:r>
        <w:t>Досье источника. 12 февраля 2016 года Netflix сообщил, что завершил облачную миграцию в начале января после семи лет работы. В публикации начальный импульс связывается с повреждением базы в августе 2008 года. Значительная часть систем перешла раньше; биллинг и управление данными клиентов и сотрудников потребовали дополнительной работы [1].</w:t>
      </w:r>
    </w:p>
    <w:p w14:paraId="6114EDDC" w14:textId="77777777" w:rsidR="00C72AEA" w:rsidRDefault="00000000">
      <w:r>
        <w:t>Компания описывает перестройку архитектуры и способов работы, а не перенос неизменной системы. Важно различать область: вычисления и хранение использовали облако, а доставка видео осуществлялась собственной сетью Open Connect. Поэтому формулировка «все видео просто перенесли в AWS» не соответствует описанию источника [1].</w:t>
      </w:r>
    </w:p>
    <w:p w14:paraId="7AF6097B" w14:textId="77777777" w:rsidR="00C72AEA" w:rsidRDefault="00000000">
      <w:pPr>
        <w:pStyle w:val="21"/>
      </w:pPr>
      <w:r>
        <w:t>Как анализировать переход</w:t>
      </w:r>
    </w:p>
    <w:p w14:paraId="4BD6A2F4" w14:textId="77777777" w:rsidR="00C72AEA" w:rsidRDefault="00000000">
      <w:r>
        <w:t>Семилетний срок нельзя считать нормативом для любого цифрового проекта. Масштаб Netflix, накопленные зависимости и непрерывность услуги отличаются от учебного сервиса. Переносимый вопрос — какие части можно изменить независимо и что должно оставаться работоспособным на каждом шаге.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69"/>
        <w:gridCol w:w="5556"/>
      </w:tblGrid>
      <w:tr w:rsidR="00C72AEA" w14:paraId="7AE8B319" w14:textId="77777777">
        <w:trPr>
          <w:cantSplit/>
          <w:tblHeader/>
          <w:jc w:val="center"/>
        </w:trPr>
        <w:tc>
          <w:tcPr>
            <w:tcW w:w="3969" w:type="dxa"/>
            <w:shd w:val="clear" w:color="auto" w:fill="19354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04363A71" w14:textId="77777777" w:rsidR="00C72AEA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Вопрос нового проекта</w:t>
            </w:r>
          </w:p>
        </w:tc>
        <w:tc>
          <w:tcPr>
            <w:tcW w:w="5556" w:type="dxa"/>
            <w:shd w:val="clear" w:color="auto" w:fill="19354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2F6CC5B0" w14:textId="77777777" w:rsidR="00C72AEA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Возможное подтверждение</w:t>
            </w:r>
          </w:p>
        </w:tc>
      </w:tr>
      <w:tr w:rsidR="00C72AEA" w14:paraId="7EFC6927" w14:textId="77777777">
        <w:trPr>
          <w:cantSplit/>
          <w:jc w:val="center"/>
        </w:trPr>
        <w:tc>
          <w:tcPr>
            <w:tcW w:w="3969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4C2BAED5" w14:textId="77777777" w:rsidR="00C72AEA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Какие части зависят друг от друга?</w:t>
            </w:r>
          </w:p>
        </w:tc>
        <w:tc>
          <w:tcPr>
            <w:tcW w:w="5556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42DEF8D2" w14:textId="77777777" w:rsidR="00C72AEA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Карта интерфейсов и владельцев</w:t>
            </w:r>
          </w:p>
        </w:tc>
      </w:tr>
      <w:tr w:rsidR="00C72AEA" w14:paraId="5E5AE37A" w14:textId="77777777">
        <w:trPr>
          <w:cantSplit/>
          <w:jc w:val="center"/>
        </w:trPr>
        <w:tc>
          <w:tcPr>
            <w:tcW w:w="3969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345AE758" w14:textId="77777777" w:rsidR="00C72AEA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Что нельзя потерять при переходе?</w:t>
            </w:r>
          </w:p>
        </w:tc>
        <w:tc>
          <w:tcPr>
            <w:tcW w:w="5556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1E69DD48" w14:textId="77777777" w:rsidR="00C72AEA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Критические записи и проверка восстановления</w:t>
            </w:r>
          </w:p>
        </w:tc>
      </w:tr>
      <w:tr w:rsidR="00C72AEA" w14:paraId="5E6C4AD4" w14:textId="77777777">
        <w:trPr>
          <w:cantSplit/>
          <w:jc w:val="center"/>
        </w:trPr>
        <w:tc>
          <w:tcPr>
            <w:tcW w:w="3969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5FD5B4BB" w14:textId="77777777" w:rsidR="00C72AEA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Кто работает по новым правилам?</w:t>
            </w:r>
          </w:p>
        </w:tc>
        <w:tc>
          <w:tcPr>
            <w:tcW w:w="5556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24835BFA" w14:textId="77777777" w:rsidR="00C72AEA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Ролевые инструкции и выполненные сценарии</w:t>
            </w:r>
          </w:p>
        </w:tc>
      </w:tr>
      <w:tr w:rsidR="00C72AEA" w14:paraId="0873099C" w14:textId="77777777">
        <w:trPr>
          <w:cantSplit/>
          <w:jc w:val="center"/>
        </w:trPr>
        <w:tc>
          <w:tcPr>
            <w:tcW w:w="3969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7B7F8C04" w14:textId="77777777" w:rsidR="00C72AEA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Как ограничить необратимое изменение?</w:t>
            </w:r>
          </w:p>
        </w:tc>
        <w:tc>
          <w:tcPr>
            <w:tcW w:w="5556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672B6FF5" w14:textId="77777777" w:rsidR="00C72AEA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Репетиция и условия переключения</w:t>
            </w:r>
          </w:p>
        </w:tc>
      </w:tr>
      <w:tr w:rsidR="00C72AEA" w14:paraId="2BB25504" w14:textId="77777777">
        <w:trPr>
          <w:cantSplit/>
          <w:jc w:val="center"/>
        </w:trPr>
        <w:tc>
          <w:tcPr>
            <w:tcW w:w="3969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404465F6" w14:textId="77777777" w:rsidR="00C72AEA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Когда прежний контур можно закрыть?</w:t>
            </w:r>
          </w:p>
        </w:tc>
        <w:tc>
          <w:tcPr>
            <w:tcW w:w="5556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1B08625D" w14:textId="77777777" w:rsidR="00C72AEA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Сверка, приемка и завершенные обязательства</w:t>
            </w:r>
          </w:p>
        </w:tc>
      </w:tr>
    </w:tbl>
    <w:p w14:paraId="73743C03" w14:textId="77777777" w:rsidR="00C72AEA" w:rsidRDefault="00C72AEA">
      <w:pPr>
        <w:spacing w:after="20" w:line="36" w:lineRule="auto"/>
      </w:pPr>
    </w:p>
    <w:p w14:paraId="4D2F3CD2" w14:textId="77777777" w:rsidR="00C72AEA" w:rsidRDefault="00000000">
      <w:r>
        <w:t>Публикация участника объясняет решения, но не раскрывает полный реестр рисков, программу обучения или независимую оценку всех выгод. Таблица выше — наша учебная адаптация, а не реконструкция неизвестного внутреннего плана Netflix.</w:t>
      </w:r>
    </w:p>
    <w:p w14:paraId="283D1656" w14:textId="77777777" w:rsidR="00C72AEA" w:rsidRDefault="00000000">
      <w:r>
        <w:br w:type="page"/>
      </w:r>
    </w:p>
    <w:p w14:paraId="4A8EB71C" w14:textId="77777777" w:rsidR="00C72AEA" w:rsidRDefault="00000000">
      <w:pPr>
        <w:pStyle w:val="1"/>
      </w:pPr>
      <w:r>
        <w:lastRenderedPageBreak/>
        <w:t>4. Внедрение: люди, инструкции и поддержка</w:t>
      </w:r>
    </w:p>
    <w:p w14:paraId="60138D27" w14:textId="77777777" w:rsidR="00C72AEA" w:rsidRDefault="00000000">
      <w:r>
        <w:t>Нежелание использовать новый сервис не следует сразу называть сопротивлением. Человек может не понимать свою роль, опасаться потери информации, сталкиваться с недоступным интерфейсом или не иметь разрешения на действие. Сначала выясняют конкретный барьер и условия работы, затем выбирают поддержку.</w:t>
      </w:r>
    </w:p>
    <w:p w14:paraId="691B0528" w14:textId="77777777" w:rsidR="00C72AEA" w:rsidRDefault="00000000">
      <w:r>
        <w:t>Для «Кампус Ресурса» студенту нужна инструкция по запросу и отмене; оператору — правила подтверждения и конфликтных заявок; администратору — управление доступом и журналом. Общая демонстрация всех экранов не проверяет готовность каждой роли выполнить свою задачу.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3572"/>
        <w:gridCol w:w="3685"/>
      </w:tblGrid>
      <w:tr w:rsidR="00C72AEA" w14:paraId="5E61952F" w14:textId="77777777">
        <w:trPr>
          <w:cantSplit/>
          <w:tblHeader/>
          <w:jc w:val="center"/>
        </w:trPr>
        <w:tc>
          <w:tcPr>
            <w:tcW w:w="2268" w:type="dxa"/>
            <w:shd w:val="clear" w:color="auto" w:fill="19354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4CA1B043" w14:textId="77777777" w:rsidR="00C72AEA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Барьер</w:t>
            </w:r>
          </w:p>
        </w:tc>
        <w:tc>
          <w:tcPr>
            <w:tcW w:w="3572" w:type="dxa"/>
            <w:shd w:val="clear" w:color="auto" w:fill="19354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71F3E748" w14:textId="77777777" w:rsidR="00C72AEA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Предлагаемое действие</w:t>
            </w:r>
          </w:p>
        </w:tc>
        <w:tc>
          <w:tcPr>
            <w:tcW w:w="3685" w:type="dxa"/>
            <w:shd w:val="clear" w:color="auto" w:fill="19354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34FCB968" w14:textId="77777777" w:rsidR="00C72AEA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Проверка</w:t>
            </w:r>
          </w:p>
        </w:tc>
      </w:tr>
      <w:tr w:rsidR="00C72AEA" w14:paraId="6D3A5F7E" w14:textId="77777777">
        <w:trPr>
          <w:cantSplit/>
          <w:jc w:val="center"/>
        </w:trPr>
        <w:tc>
          <w:tcPr>
            <w:tcW w:w="2268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60A51413" w14:textId="77777777" w:rsidR="00C72AEA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Неясен статус</w:t>
            </w:r>
          </w:p>
        </w:tc>
        <w:tc>
          <w:tcPr>
            <w:tcW w:w="3572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37FFFB3D" w14:textId="77777777" w:rsidR="00C72AEA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Объяснить разницу запроса и подтверждения</w:t>
            </w:r>
          </w:p>
        </w:tc>
        <w:tc>
          <w:tcPr>
            <w:tcW w:w="3685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725620EF" w14:textId="77777777" w:rsidR="00C72AEA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Пользователь верно описывает результат</w:t>
            </w:r>
          </w:p>
        </w:tc>
      </w:tr>
      <w:tr w:rsidR="00C72AEA" w14:paraId="7F752407" w14:textId="77777777">
        <w:trPr>
          <w:cantSplit/>
          <w:jc w:val="center"/>
        </w:trPr>
        <w:tc>
          <w:tcPr>
            <w:tcW w:w="2268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736E498D" w14:textId="77777777" w:rsidR="00C72AEA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Нет полномочий</w:t>
            </w:r>
          </w:p>
        </w:tc>
        <w:tc>
          <w:tcPr>
            <w:tcW w:w="3572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69088BE6" w14:textId="77777777" w:rsidR="00C72AEA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Согласовать роль с владельцем процесса</w:t>
            </w:r>
          </w:p>
        </w:tc>
        <w:tc>
          <w:tcPr>
            <w:tcW w:w="3685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07EBE321" w14:textId="77777777" w:rsidR="00C72AEA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Допустимое действие доступно</w:t>
            </w:r>
          </w:p>
        </w:tc>
      </w:tr>
      <w:tr w:rsidR="00C72AEA" w14:paraId="4B7FCF29" w14:textId="77777777">
        <w:trPr>
          <w:cantSplit/>
          <w:jc w:val="center"/>
        </w:trPr>
        <w:tc>
          <w:tcPr>
            <w:tcW w:w="2268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4BF425D7" w14:textId="77777777" w:rsidR="00C72AEA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Страх потерять данные</w:t>
            </w:r>
          </w:p>
        </w:tc>
        <w:tc>
          <w:tcPr>
            <w:tcW w:w="3572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705C8856" w14:textId="77777777" w:rsidR="00C72AEA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Показать правила сохранения и помощи</w:t>
            </w:r>
          </w:p>
        </w:tc>
        <w:tc>
          <w:tcPr>
            <w:tcW w:w="3685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28E74647" w14:textId="77777777" w:rsidR="00C72AEA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Понятен маршрут обращения</w:t>
            </w:r>
          </w:p>
        </w:tc>
      </w:tr>
      <w:tr w:rsidR="00C72AEA" w14:paraId="5A123733" w14:textId="77777777">
        <w:trPr>
          <w:cantSplit/>
          <w:jc w:val="center"/>
        </w:trPr>
        <w:tc>
          <w:tcPr>
            <w:tcW w:w="2268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013B28AC" w14:textId="77777777" w:rsidR="00C72AEA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Дублируется работа</w:t>
            </w:r>
          </w:p>
        </w:tc>
        <w:tc>
          <w:tcPr>
            <w:tcW w:w="3572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5593FA9E" w14:textId="77777777" w:rsidR="00C72AEA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Изменить старый порядок после приемки</w:t>
            </w:r>
          </w:p>
        </w:tc>
        <w:tc>
          <w:tcPr>
            <w:tcW w:w="3685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290258B7" w14:textId="77777777" w:rsidR="00C72AEA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Нет двух независимых источников истины</w:t>
            </w:r>
          </w:p>
        </w:tc>
      </w:tr>
    </w:tbl>
    <w:p w14:paraId="07DC8DC0" w14:textId="77777777" w:rsidR="00C72AEA" w:rsidRDefault="00C72AEA">
      <w:pPr>
        <w:spacing w:after="20" w:line="36" w:lineRule="auto"/>
      </w:pPr>
    </w:p>
    <w:p w14:paraId="3336B9A5" w14:textId="77777777" w:rsidR="00C72AEA" w:rsidRDefault="00000000">
      <w:pPr>
        <w:pStyle w:val="21"/>
      </w:pPr>
      <w:r>
        <w:t>Коммуникация до и после запуска</w:t>
      </w:r>
    </w:p>
    <w:p w14:paraId="557CBFF0" w14:textId="77777777" w:rsidR="00C72AEA" w:rsidRDefault="00000000">
      <w:r>
        <w:t>Сообщение должно объяснять, что меняется, кого это касается, с какого момента действует новый порядок и где получить помощь. Не обещайте, что сервис исключит любые задержки. Гораздо полезнее точно описать время обработки и действия при проблеме.</w:t>
      </w:r>
    </w:p>
    <w:p w14:paraId="2DDC4197" w14:textId="77777777" w:rsidR="00C72AEA" w:rsidRDefault="00000000">
      <w:r>
        <w:t>В период усиленной поддержки фиксируют тип обращения, затронутую задачу и решение. Число жалоб не оценивают изолированно: их рост может отражать доступность нового канала. Важнее понимать, удается ли восстановить действие и какие повторяющиеся причины требуют изменения процесса.</w:t>
      </w:r>
    </w:p>
    <w:p w14:paraId="75CD0ACE" w14:textId="77777777" w:rsidR="00C72AEA" w:rsidRDefault="00000000">
      <w:r>
        <w:br w:type="page"/>
      </w:r>
    </w:p>
    <w:p w14:paraId="56246F94" w14:textId="77777777" w:rsidR="00C72AEA" w:rsidRDefault="00000000">
      <w:pPr>
        <w:pStyle w:val="1"/>
      </w:pPr>
      <w:r>
        <w:lastRenderedPageBreak/>
        <w:t>5. Приемка и передача в эксплуатацию</w:t>
      </w:r>
    </w:p>
    <w:p w14:paraId="4ED96C96" w14:textId="77777777" w:rsidR="00C72AEA" w:rsidRDefault="00000000">
      <w:r>
        <w:t>Передача завершается не отправкой ссылки, а согласованием ответственности. Кто поддерживает сервис, оплачивает инфраструктуру, изменяет справочники и принимает решения при инциденте? Если эти функции остаются без владельца, проект сохраняет скрытые незавершенные обязательства.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05"/>
        <w:gridCol w:w="6520"/>
      </w:tblGrid>
      <w:tr w:rsidR="00C72AEA" w14:paraId="3881494B" w14:textId="77777777">
        <w:trPr>
          <w:cantSplit/>
          <w:tblHeader/>
          <w:jc w:val="center"/>
        </w:trPr>
        <w:tc>
          <w:tcPr>
            <w:tcW w:w="3005" w:type="dxa"/>
            <w:shd w:val="clear" w:color="auto" w:fill="19354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06279EF2" w14:textId="77777777" w:rsidR="00C72AEA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Материал передачи</w:t>
            </w:r>
          </w:p>
        </w:tc>
        <w:tc>
          <w:tcPr>
            <w:tcW w:w="6520" w:type="dxa"/>
            <w:shd w:val="clear" w:color="auto" w:fill="19354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39096555" w14:textId="77777777" w:rsidR="00C72AEA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Что в нем должно быть</w:t>
            </w:r>
          </w:p>
        </w:tc>
      </w:tr>
      <w:tr w:rsidR="00C72AEA" w14:paraId="72A5F673" w14:textId="77777777">
        <w:trPr>
          <w:cantSplit/>
          <w:jc w:val="center"/>
        </w:trPr>
        <w:tc>
          <w:tcPr>
            <w:tcW w:w="3005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52E58CCD" w14:textId="77777777" w:rsidR="00C72AEA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Описание сервиса</w:t>
            </w:r>
          </w:p>
        </w:tc>
        <w:tc>
          <w:tcPr>
            <w:tcW w:w="6520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4B57640C" w14:textId="77777777" w:rsidR="00C72AEA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Назначение, пользователи и границы</w:t>
            </w:r>
          </w:p>
        </w:tc>
      </w:tr>
      <w:tr w:rsidR="00C72AEA" w14:paraId="36044C75" w14:textId="77777777">
        <w:trPr>
          <w:cantSplit/>
          <w:jc w:val="center"/>
        </w:trPr>
        <w:tc>
          <w:tcPr>
            <w:tcW w:w="3005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63EC8EAA" w14:textId="77777777" w:rsidR="00C72AEA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Реестр доступа</w:t>
            </w:r>
          </w:p>
        </w:tc>
        <w:tc>
          <w:tcPr>
            <w:tcW w:w="6520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0529F763" w14:textId="77777777" w:rsidR="00C72AEA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Роли, владельцы и порядок пересмотра</w:t>
            </w:r>
          </w:p>
        </w:tc>
      </w:tr>
      <w:tr w:rsidR="00C72AEA" w14:paraId="4FC35F81" w14:textId="77777777">
        <w:trPr>
          <w:cantSplit/>
          <w:jc w:val="center"/>
        </w:trPr>
        <w:tc>
          <w:tcPr>
            <w:tcW w:w="3005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5DF606E2" w14:textId="77777777" w:rsidR="00C72AEA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Инструкция поддержки</w:t>
            </w:r>
          </w:p>
        </w:tc>
        <w:tc>
          <w:tcPr>
            <w:tcW w:w="6520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4272F8E6" w14:textId="77777777" w:rsidR="00C72AEA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Сигналы, контакты и порядок эскалации</w:t>
            </w:r>
          </w:p>
        </w:tc>
      </w:tr>
      <w:tr w:rsidR="00C72AEA" w14:paraId="763AD7CE" w14:textId="77777777">
        <w:trPr>
          <w:cantSplit/>
          <w:jc w:val="center"/>
        </w:trPr>
        <w:tc>
          <w:tcPr>
            <w:tcW w:w="3005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1533AA70" w14:textId="77777777" w:rsidR="00C72AEA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Состояние данных</w:t>
            </w:r>
          </w:p>
        </w:tc>
        <w:tc>
          <w:tcPr>
            <w:tcW w:w="6520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7A1E449B" w14:textId="77777777" w:rsidR="00C72AEA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Правила хранения, сверки и восстановления</w:t>
            </w:r>
          </w:p>
        </w:tc>
      </w:tr>
      <w:tr w:rsidR="00C72AEA" w14:paraId="02532E98" w14:textId="77777777">
        <w:trPr>
          <w:cantSplit/>
          <w:jc w:val="center"/>
        </w:trPr>
        <w:tc>
          <w:tcPr>
            <w:tcW w:w="3005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4A75F072" w14:textId="77777777" w:rsidR="00C72AEA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Открытые вопросы</w:t>
            </w:r>
          </w:p>
        </w:tc>
        <w:tc>
          <w:tcPr>
            <w:tcW w:w="6520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299633EF" w14:textId="77777777" w:rsidR="00C72AEA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Последствия, ответственные и сроки</w:t>
            </w:r>
          </w:p>
        </w:tc>
      </w:tr>
      <w:tr w:rsidR="00C72AEA" w14:paraId="407F429C" w14:textId="77777777">
        <w:trPr>
          <w:cantSplit/>
          <w:jc w:val="center"/>
        </w:trPr>
        <w:tc>
          <w:tcPr>
            <w:tcW w:w="3005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4C2F3DBB" w14:textId="77777777" w:rsidR="00C72AEA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План оценки</w:t>
            </w:r>
          </w:p>
        </w:tc>
        <w:tc>
          <w:tcPr>
            <w:tcW w:w="6520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4B6017D6" w14:textId="77777777" w:rsidR="00C72AEA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Кто и когда проверит полезность после запуска</w:t>
            </w:r>
          </w:p>
        </w:tc>
      </w:tr>
    </w:tbl>
    <w:p w14:paraId="6D2B3AA7" w14:textId="77777777" w:rsidR="00C72AEA" w:rsidRDefault="00C72AEA">
      <w:pPr>
        <w:spacing w:after="20" w:line="36" w:lineRule="auto"/>
      </w:pPr>
    </w:p>
    <w:p w14:paraId="2E760CA9" w14:textId="77777777" w:rsidR="00C72AEA" w:rsidRDefault="00000000">
      <w:pPr>
        <w:pStyle w:val="21"/>
      </w:pPr>
      <w:r>
        <w:t>Учебный расчет освоения</w:t>
      </w:r>
    </w:p>
    <w:p w14:paraId="01D069C5" w14:textId="77777777" w:rsidR="00C72AEA" w:rsidRDefault="00000000">
      <w:r>
        <w:t>Из 40 приглашенных операторов 30 вошли в сервис, 24 самостоятельно выполнили контрольный сценарий, еще 4 справились с подсказкой. Это условные данные. Доля входов — 75%; самостоятельного выполнения — 60% приглашенных; выполнения с любой поддержкой — 70%. Три показателя описывают разные результаты.</w:t>
      </w:r>
    </w:p>
    <w:p w14:paraId="33764AC9" w14:textId="77777777" w:rsidR="00C72AEA" w:rsidRDefault="00000000">
      <w:r>
        <w:t>Нельзя написать «75% сотрудников освоили процесс» только по входам. Необходимо выяснить причины отсутствия и проверить последующую работу. Если среди вошедших самостоятельных 24 из 30, доля равна 80%, но смена знаменателя должна быть явно обозначена.</w:t>
      </w:r>
    </w:p>
    <w:p w14:paraId="5C1FDEE8" w14:textId="77777777" w:rsidR="00C72AEA" w:rsidRDefault="00000000">
      <w:r>
        <w:t>После передачи сохраняют контрольную дату оценки выгод. Формальная приемка подтверждает согласованные результаты проекта; она не доказывает, что ожидаемая экономия уже реализована. За будущий замер отвечает названный владелец, а не неопределенная «команда».</w:t>
      </w:r>
    </w:p>
    <w:p w14:paraId="4DB74B9D" w14:textId="77777777" w:rsidR="00C72AEA" w:rsidRDefault="00000000">
      <w:r>
        <w:br w:type="page"/>
      </w:r>
    </w:p>
    <w:p w14:paraId="0BDC9E01" w14:textId="77777777" w:rsidR="00C72AEA" w:rsidRDefault="00000000">
      <w:pPr>
        <w:pStyle w:val="1"/>
      </w:pPr>
      <w:r>
        <w:lastRenderedPageBreak/>
        <w:t>6. Самостоятельная работа и самопроверка</w:t>
      </w:r>
    </w:p>
    <w:p w14:paraId="29A64948" w14:textId="77777777" w:rsidR="00C72AEA" w:rsidRDefault="00000000">
      <w:pPr>
        <w:pStyle w:val="21"/>
      </w:pPr>
      <w:r>
        <w:t>Задание: сценарий запуска учебного сервиса</w:t>
      </w:r>
    </w:p>
    <w:p w14:paraId="6B561C7B" w14:textId="77777777" w:rsidR="00C72AEA" w:rsidRDefault="00000000">
      <w:r>
        <w:t>Подготовьте план перехода «Кампус Ресурса» от таблицы заявок к пилотному сервису. Укажите пять направлений готовности, условия go / no-go, правила сверки данных и резервный порядок. Опишите действия до запуска, в день переключения и на протяжении двух недель после него.</w:t>
      </w:r>
    </w:p>
    <w:p w14:paraId="618F85E7" w14:textId="77777777" w:rsidR="00C72AEA" w:rsidRDefault="00000000">
      <w:r>
        <w:t>Составьте три ролевые инструкции по одному ключевому сценарию и пакет передачи владельцу сервиса. Для приведенных данных 40 операторов объясните различие трех показателей. Сопоставьте свой план с одним уроком Netflix, не копируя его масштаб и технологии. Объем — 3–4 страницы; реальная миграция не требуется.</w:t>
      </w:r>
    </w:p>
    <w:p w14:paraId="5A10EC6C" w14:textId="77777777" w:rsidR="00C72AEA" w:rsidRDefault="00000000">
      <w:pPr>
        <w:pStyle w:val="21"/>
      </w:pPr>
      <w:r>
        <w:t>Критерии оценивания: 100 баллов</w:t>
      </w:r>
    </w:p>
    <w:p w14:paraId="564ACE97" w14:textId="77777777" w:rsidR="00C72AEA" w:rsidRDefault="00000000">
      <w:r>
        <w:t>Полнота перехода — 25; критерии готовности и возврата — 25; обучение и поддержка — 20; передача и показатели — 20; корректность источников — 10.</w:t>
      </w:r>
    </w:p>
    <w:p w14:paraId="0EE44B27" w14:textId="77777777" w:rsidR="00C72AEA" w:rsidRDefault="00000000">
      <w:pPr>
        <w:pStyle w:val="21"/>
      </w:pPr>
      <w:r>
        <w:t>Вопросы с ответами-ориентирами</w:t>
      </w:r>
    </w:p>
    <w:p w14:paraId="6723D7E7" w14:textId="77777777" w:rsidR="00C72AEA" w:rsidRDefault="00000000">
      <w:r>
        <w:t>1. Почему запуск не равен внедрению? Ориентир: доступность функции не подтверждает изменение повседневного процесса.</w:t>
      </w:r>
    </w:p>
    <w:p w14:paraId="651EB6B8" w14:textId="77777777" w:rsidR="00C72AEA" w:rsidRDefault="00000000">
      <w:r>
        <w:t>2. Достаточно ли совпадения числа записей? Ориентир: нет, проверяются смысл, связи, статусы и исключения.</w:t>
      </w:r>
    </w:p>
    <w:p w14:paraId="6654B012" w14:textId="77777777" w:rsidR="00C72AEA" w:rsidRDefault="00000000">
      <w:r>
        <w:t>3. Всегда ли параллельная работа безопаснее? Ориентир: без основного источника записи она может создавать противоречия.</w:t>
      </w:r>
    </w:p>
    <w:p w14:paraId="59F38CB6" w14:textId="77777777" w:rsidR="00C72AEA" w:rsidRDefault="00000000">
      <w:r>
        <w:t>4. Что остается после формальной приемки? Ориентир: эксплуатационная ответственность, открытые вопросы и проверка выгод.</w:t>
      </w:r>
    </w:p>
    <w:p w14:paraId="6F6A0AB7" w14:textId="77777777" w:rsidR="00C72AEA" w:rsidRDefault="00000000">
      <w:pPr>
        <w:pStyle w:val="Callout"/>
        <w:pBdr>
          <w:left w:val="single" w:sz="16" w:space="8" w:color="246A73"/>
        </w:pBdr>
        <w:shd w:val="clear" w:color="auto" w:fill="EDF4F5"/>
      </w:pPr>
      <w:r>
        <w:t>Переход завершен, когда новый порядок работает, известен его владелец и управляемо закрыты прежние обязательства.</w:t>
      </w:r>
    </w:p>
    <w:p w14:paraId="5229FE33" w14:textId="77777777" w:rsidR="00C72AEA" w:rsidRDefault="00000000">
      <w:r>
        <w:br w:type="page"/>
      </w:r>
    </w:p>
    <w:p w14:paraId="3009BDC6" w14:textId="77777777" w:rsidR="00C72AEA" w:rsidRDefault="00000000">
      <w:pPr>
        <w:pStyle w:val="1"/>
      </w:pPr>
      <w:r>
        <w:lastRenderedPageBreak/>
        <w:t>Итоги, понятия и источники</w:t>
      </w:r>
    </w:p>
    <w:p w14:paraId="00C22735" w14:textId="77777777" w:rsidR="00C72AEA" w:rsidRDefault="00000000">
      <w:r>
        <w:t>Запуск соединяет техническую готовность, качество данных и готовность людей. Кейс Netflix показывает, почему переход может менять не только инфраструктуру, но и способы работы. Для малого проекта важны те же вопросы о зависимостях, сверке и ответственности, но решения должны соответствовать его реальному масштабу.</w:t>
      </w:r>
    </w:p>
    <w:p w14:paraId="3366BA4D" w14:textId="77777777" w:rsidR="00C72AEA" w:rsidRDefault="00000000">
      <w:pPr>
        <w:pStyle w:val="21"/>
      </w:pPr>
      <w:r>
        <w:t>Мини-глоссарий</w:t>
      </w:r>
    </w:p>
    <w:p w14:paraId="0705EF99" w14:textId="77777777" w:rsidR="00C72AEA" w:rsidRDefault="00000000">
      <w:pPr>
        <w:spacing w:after="80"/>
      </w:pPr>
      <w:r>
        <w:rPr>
          <w:b/>
        </w:rPr>
        <w:t>Внедрение.</w:t>
      </w:r>
      <w:r>
        <w:t xml:space="preserve"> Освоение нового порядка действий пользователями и организацией.</w:t>
      </w:r>
    </w:p>
    <w:p w14:paraId="09C57479" w14:textId="77777777" w:rsidR="00C72AEA" w:rsidRDefault="00000000">
      <w:pPr>
        <w:spacing w:after="80"/>
      </w:pPr>
      <w:r>
        <w:rPr>
          <w:b/>
        </w:rPr>
        <w:t>Миграция.</w:t>
      </w:r>
      <w:r>
        <w:t xml:space="preserve"> Управляемый перенос данных, функций или инфраструктуры.</w:t>
      </w:r>
    </w:p>
    <w:p w14:paraId="77120468" w14:textId="77777777" w:rsidR="00C72AEA" w:rsidRDefault="00000000">
      <w:pPr>
        <w:spacing w:after="80"/>
      </w:pPr>
      <w:r>
        <w:rPr>
          <w:b/>
        </w:rPr>
        <w:t>Go / no-go.</w:t>
      </w:r>
      <w:r>
        <w:t xml:space="preserve"> Решение разрешить либо отложить согласованный запуск.</w:t>
      </w:r>
    </w:p>
    <w:p w14:paraId="0940060E" w14:textId="77777777" w:rsidR="00C72AEA" w:rsidRDefault="00000000">
      <w:pPr>
        <w:spacing w:after="80"/>
      </w:pPr>
      <w:r>
        <w:rPr>
          <w:b/>
        </w:rPr>
        <w:t>Сверка.</w:t>
      </w:r>
      <w:r>
        <w:t xml:space="preserve"> Проверка соответствия данных и их смысла до и после перехода.</w:t>
      </w:r>
    </w:p>
    <w:p w14:paraId="7834F11E" w14:textId="77777777" w:rsidR="00C72AEA" w:rsidRDefault="00000000">
      <w:pPr>
        <w:spacing w:after="80"/>
      </w:pPr>
      <w:r>
        <w:rPr>
          <w:b/>
        </w:rPr>
        <w:t>Владелец сервиса.</w:t>
      </w:r>
      <w:r>
        <w:t xml:space="preserve"> Участник, отвечающий за согласованную эксплуатацию.</w:t>
      </w:r>
    </w:p>
    <w:p w14:paraId="22130848" w14:textId="77777777" w:rsidR="00C72AEA" w:rsidRDefault="00000000">
      <w:pPr>
        <w:spacing w:after="80"/>
      </w:pPr>
      <w:r>
        <w:rPr>
          <w:b/>
        </w:rPr>
        <w:t>Освоение.</w:t>
      </w:r>
      <w:r>
        <w:t xml:space="preserve"> Подтвержденная способность выполнять нужную задачу новым способом.</w:t>
      </w:r>
    </w:p>
    <w:p w14:paraId="4F3179B6" w14:textId="77777777" w:rsidR="00C72AEA" w:rsidRDefault="00000000">
      <w:pPr>
        <w:pStyle w:val="21"/>
      </w:pPr>
      <w:r>
        <w:t>Источники и практическое чтение</w:t>
      </w:r>
    </w:p>
    <w:p w14:paraId="381726DD" w14:textId="77777777" w:rsidR="00C72AEA" w:rsidRPr="007D54A7" w:rsidRDefault="00000000">
      <w:pPr>
        <w:spacing w:line="252" w:lineRule="auto"/>
        <w:rPr>
          <w:lang w:val="en-US"/>
        </w:rPr>
      </w:pPr>
      <w:r w:rsidRPr="007D54A7">
        <w:rPr>
          <w:rFonts w:ascii="Arial" w:eastAsia="Arial" w:hAnsi="Arial" w:cs="Arial"/>
          <w:color w:val="19354A"/>
          <w:sz w:val="21"/>
          <w:lang w:val="en-US"/>
        </w:rPr>
        <w:t xml:space="preserve">[1] </w:t>
      </w:r>
      <w:hyperlink r:id="rId8">
        <w:r w:rsidRPr="007D54A7">
          <w:rPr>
            <w:rFonts w:ascii="Arial" w:hAnsi="Arial"/>
            <w:color w:val="246A73"/>
            <w:sz w:val="21"/>
            <w:u w:val="single"/>
            <w:lang w:val="en-US"/>
          </w:rPr>
          <w:t>Yury Izrailevsky, Stevan Vlaovic, Ruslan Meshenberg / Netflix. Completing the Netflix Cloud Migration. 12.02.2016.</w:t>
        </w:r>
      </w:hyperlink>
    </w:p>
    <w:p w14:paraId="4D2DECD9" w14:textId="37270677" w:rsidR="00C72AEA" w:rsidRDefault="00000000" w:rsidP="007D54A7">
      <w:pPr>
        <w:spacing w:line="252" w:lineRule="auto"/>
      </w:pPr>
      <w:r w:rsidRPr="007D54A7">
        <w:rPr>
          <w:rFonts w:ascii="Arial" w:eastAsia="Arial" w:hAnsi="Arial" w:cs="Arial"/>
          <w:color w:val="19354A"/>
          <w:sz w:val="21"/>
          <w:lang w:val="en-US"/>
        </w:rPr>
        <w:t xml:space="preserve">[2] </w:t>
      </w:r>
      <w:hyperlink r:id="rId9">
        <w:r w:rsidRPr="007D54A7">
          <w:rPr>
            <w:rFonts w:ascii="Arial" w:hAnsi="Arial"/>
            <w:color w:val="246A73"/>
            <w:sz w:val="21"/>
            <w:u w:val="single"/>
            <w:lang w:val="en-US"/>
          </w:rPr>
          <w:t>GOV.UK Service Manual. How the beta phase works.</w:t>
        </w:r>
      </w:hyperlink>
      <w:r w:rsidRPr="007D54A7">
        <w:rPr>
          <w:rFonts w:ascii="Arial" w:eastAsia="Arial" w:hAnsi="Arial" w:cs="Arial"/>
          <w:color w:val="596772"/>
          <w:sz w:val="20"/>
          <w:lang w:val="en-US"/>
        </w:rPr>
        <w:t xml:space="preserve"> </w:t>
      </w:r>
    </w:p>
    <w:sectPr w:rsidR="00C72AEA" w:rsidSect="00034616">
      <w:headerReference w:type="default" r:id="rId10"/>
      <w:footerReference w:type="default" r:id="rId11"/>
      <w:pgSz w:w="11906" w:h="16838"/>
      <w:pgMar w:top="1162" w:right="1191" w:bottom="1077" w:left="1191" w:header="510" w:footer="48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2F3B79" w14:textId="77777777" w:rsidR="00AD15A0" w:rsidRDefault="00AD15A0">
      <w:pPr>
        <w:spacing w:after="0" w:line="240" w:lineRule="auto"/>
      </w:pPr>
      <w:r>
        <w:separator/>
      </w:r>
    </w:p>
  </w:endnote>
  <w:endnote w:type="continuationSeparator" w:id="0">
    <w:p w14:paraId="54A2DFA1" w14:textId="77777777" w:rsidR="00AD15A0" w:rsidRDefault="00AD15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18773" w14:textId="36BD9D68" w:rsidR="00C72AEA" w:rsidRDefault="00C72AEA">
    <w:pPr>
      <w:tabs>
        <w:tab w:val="right" w:pos="9524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FB96D5" w14:textId="77777777" w:rsidR="00AD15A0" w:rsidRDefault="00AD15A0">
      <w:pPr>
        <w:spacing w:after="0" w:line="240" w:lineRule="auto"/>
      </w:pPr>
      <w:r>
        <w:separator/>
      </w:r>
    </w:p>
  </w:footnote>
  <w:footnote w:type="continuationSeparator" w:id="0">
    <w:p w14:paraId="01F7975E" w14:textId="77777777" w:rsidR="00AD15A0" w:rsidRDefault="00AD15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60AB4" w14:textId="7E58FBB7" w:rsidR="00C72AEA" w:rsidRDefault="00C72AEA">
    <w:pPr>
      <w:pBdr>
        <w:bottom w:val="single" w:sz="4" w:space="0" w:color="D6DFE4"/>
      </w:pBdr>
      <w:tabs>
        <w:tab w:val="right" w:pos="9524"/>
      </w:tabs>
      <w:spacing w:after="1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79429361">
    <w:abstractNumId w:val="8"/>
  </w:num>
  <w:num w:numId="2" w16cid:durableId="314333049">
    <w:abstractNumId w:val="6"/>
  </w:num>
  <w:num w:numId="3" w16cid:durableId="911355967">
    <w:abstractNumId w:val="5"/>
  </w:num>
  <w:num w:numId="4" w16cid:durableId="899092651">
    <w:abstractNumId w:val="4"/>
  </w:num>
  <w:num w:numId="5" w16cid:durableId="1103648452">
    <w:abstractNumId w:val="7"/>
  </w:num>
  <w:num w:numId="6" w16cid:durableId="177890682">
    <w:abstractNumId w:val="3"/>
  </w:num>
  <w:num w:numId="7" w16cid:durableId="866066561">
    <w:abstractNumId w:val="2"/>
  </w:num>
  <w:num w:numId="8" w16cid:durableId="162429747">
    <w:abstractNumId w:val="1"/>
  </w:num>
  <w:num w:numId="9" w16cid:durableId="734320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61215"/>
    <w:rsid w:val="0029639D"/>
    <w:rsid w:val="00326F90"/>
    <w:rsid w:val="007D54A7"/>
    <w:rsid w:val="00AA1D8D"/>
    <w:rsid w:val="00AD15A0"/>
    <w:rsid w:val="00B47730"/>
    <w:rsid w:val="00C72AEA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EAF7E0"/>
  <w14:defaultImageDpi w14:val="300"/>
  <w15:docId w15:val="{CF406931-3680-4357-B133-99E58FDD8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40" w:line="278" w:lineRule="auto"/>
    </w:pPr>
    <w:rPr>
      <w:rFonts w:ascii="Times New Roman" w:hAnsi="Times New Roman" w:cs="Times New Roman"/>
      <w:sz w:val="25"/>
      <w:lang w:val="ru-RU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after="160" w:line="252" w:lineRule="auto"/>
      <w:outlineLvl w:val="0"/>
    </w:pPr>
    <w:rPr>
      <w:rFonts w:asciiTheme="majorHAnsi" w:eastAsiaTheme="majorEastAsia" w:hAnsiTheme="majorHAnsi" w:cstheme="majorBidi"/>
      <w:b/>
      <w:bCs/>
      <w:color w:val="19354A"/>
      <w:sz w:val="34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40" w:after="160" w:line="252" w:lineRule="auto"/>
      <w:outlineLvl w:val="1"/>
    </w:pPr>
    <w:rPr>
      <w:rFonts w:asciiTheme="majorHAnsi" w:eastAsiaTheme="majorEastAsia" w:hAnsiTheme="majorHAnsi" w:cstheme="majorBidi"/>
      <w:b/>
      <w:bCs/>
      <w:color w:val="246A73"/>
      <w:sz w:val="24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after="160" w:line="252" w:lineRule="auto"/>
      <w:contextualSpacing/>
    </w:pPr>
    <w:rPr>
      <w:rFonts w:asciiTheme="majorHAnsi" w:eastAsiaTheme="majorEastAsia" w:hAnsiTheme="majorHAnsi" w:cstheme="majorBidi"/>
      <w:b/>
      <w:color w:val="19354A"/>
      <w:spacing w:val="5"/>
      <w:kern w:val="28"/>
      <w:sz w:val="4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allout">
    <w:name w:val="Callout"/>
    <w:basedOn w:val="a1"/>
    <w:pPr>
      <w:keepLines/>
      <w:spacing w:before="100" w:after="180" w:line="264" w:lineRule="auto"/>
      <w:ind w:left="142" w:right="85"/>
    </w:pPr>
    <w:rPr>
      <w:rFonts w:ascii="Arial" w:hAnsi="Arial" w:cs="Arial"/>
      <w:color w:val="19354A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bout.netflix.com/en/news/completing-the-netflix-cloud-migration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gov.uk/service-manual/agile-delivery/how-the-beta-phase-work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1626</Words>
  <Characters>9273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10878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Запуск, миграция, внедрение и управление изменениями</dc:title>
  <dc:subject>Управление цифровыми проектами — лекция 13</dc:subject>
  <dc:creator>Учебные материалы</dc:creator>
  <cp:keywords>цифровой проект; бакалавриат; дистанционное обучение; кейсы</cp:keywords>
  <dc:description>generated by python-docx</dc:description>
  <cp:lastModifiedBy>Mikhail Sizov</cp:lastModifiedBy>
  <cp:revision>3</cp:revision>
  <dcterms:created xsi:type="dcterms:W3CDTF">2013-12-23T23:15:00Z</dcterms:created>
  <dcterms:modified xsi:type="dcterms:W3CDTF">2026-09-28T15:07:00Z</dcterms:modified>
  <cp:category/>
  <dc:language>ru-RU</dc:language>
</cp:coreProperties>
</file>