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0E7029" w14:textId="77777777" w:rsidR="00940A48" w:rsidRDefault="00000000">
      <w:pPr>
        <w:pStyle w:val="aa"/>
      </w:pPr>
      <w:r>
        <w:t>Технические решения: архитектура, интеграции и данные</w:t>
      </w:r>
    </w:p>
    <w:p w14:paraId="294D282A" w14:textId="77777777" w:rsidR="00940A48" w:rsidRDefault="00000000">
      <w:pPr>
        <w:pStyle w:val="1"/>
      </w:pPr>
      <w:r>
        <w:t>1. Карта системы и обязательные вопросы</w:t>
      </w:r>
    </w:p>
    <w:p w14:paraId="100AA934" w14:textId="77777777" w:rsidR="00940A48" w:rsidRDefault="00000000">
      <w:r>
        <w:t>Для учебного проекта выделим интерфейс пользователя, серверную логику, хранилище, систему авторизации и канал уведомлений. Это логические части: они не обязаны разворачиваться на разных серверах. Разделение по назначению помогает обсуждать ответственность и проверки без преждевременного усложнения.</w:t>
      </w:r>
    </w:p>
    <w:p w14:paraId="0409F07C" w14:textId="77777777" w:rsidR="00940A48" w:rsidRDefault="00000000">
      <w:r>
        <w:t>Уточните, где находится источник действительного состояния. Если письмо говорит «подтверждено», а журнал — «отменено», пользователь не должен самостоятельно выбирать правду. Необходимо согласовать, какое состояние считается актуальным и как остальные представления обновляются.</w:t>
      </w:r>
    </w:p>
    <w:tbl>
      <w:tblPr>
        <w:tblW w:w="0" w:type="auto"/>
        <w:jc w:val="center"/>
        <w:tblLayout w:type="fixed"/>
        <w:tblLook w:val="04A0" w:firstRow="1" w:lastRow="0" w:firstColumn="1" w:lastColumn="0" w:noHBand="0" w:noVBand="1"/>
      </w:tblPr>
      <w:tblGrid>
        <w:gridCol w:w="2098"/>
        <w:gridCol w:w="3969"/>
        <w:gridCol w:w="3458"/>
      </w:tblGrid>
      <w:tr w:rsidR="00940A48" w14:paraId="5994FA03" w14:textId="77777777">
        <w:trPr>
          <w:cantSplit/>
          <w:tblHeader/>
          <w:jc w:val="center"/>
        </w:trPr>
        <w:tc>
          <w:tcPr>
            <w:tcW w:w="2098" w:type="dxa"/>
            <w:shd w:val="clear" w:color="auto" w:fill="19354A"/>
            <w:tcMar>
              <w:top w:w="90" w:type="dxa"/>
              <w:left w:w="105" w:type="dxa"/>
              <w:bottom w:w="90" w:type="dxa"/>
              <w:right w:w="105" w:type="dxa"/>
            </w:tcMar>
            <w:vAlign w:val="center"/>
          </w:tcPr>
          <w:p w14:paraId="0C5B6831" w14:textId="77777777" w:rsidR="00940A48" w:rsidRDefault="00000000">
            <w:pPr>
              <w:spacing w:before="20" w:after="40" w:line="257" w:lineRule="auto"/>
            </w:pPr>
            <w:r>
              <w:rPr>
                <w:rFonts w:ascii="Arial" w:eastAsia="Arial" w:hAnsi="Arial" w:cs="Arial"/>
                <w:b/>
                <w:color w:val="FFFFFF"/>
                <w:sz w:val="20"/>
              </w:rPr>
              <w:t>Компонент</w:t>
            </w:r>
          </w:p>
        </w:tc>
        <w:tc>
          <w:tcPr>
            <w:tcW w:w="3969" w:type="dxa"/>
            <w:shd w:val="clear" w:color="auto" w:fill="19354A"/>
            <w:tcMar>
              <w:top w:w="90" w:type="dxa"/>
              <w:left w:w="105" w:type="dxa"/>
              <w:bottom w:w="90" w:type="dxa"/>
              <w:right w:w="105" w:type="dxa"/>
            </w:tcMar>
            <w:vAlign w:val="center"/>
          </w:tcPr>
          <w:p w14:paraId="29B8DA8C" w14:textId="77777777" w:rsidR="00940A48" w:rsidRDefault="00000000">
            <w:pPr>
              <w:spacing w:before="20" w:after="40" w:line="257" w:lineRule="auto"/>
            </w:pPr>
            <w:r>
              <w:rPr>
                <w:rFonts w:ascii="Arial" w:eastAsia="Arial" w:hAnsi="Arial" w:cs="Arial"/>
                <w:b/>
                <w:color w:val="FFFFFF"/>
                <w:sz w:val="20"/>
              </w:rPr>
              <w:t>Главный вопрос</w:t>
            </w:r>
          </w:p>
        </w:tc>
        <w:tc>
          <w:tcPr>
            <w:tcW w:w="3458" w:type="dxa"/>
            <w:shd w:val="clear" w:color="auto" w:fill="19354A"/>
            <w:tcMar>
              <w:top w:w="90" w:type="dxa"/>
              <w:left w:w="105" w:type="dxa"/>
              <w:bottom w:w="90" w:type="dxa"/>
              <w:right w:w="105" w:type="dxa"/>
            </w:tcMar>
            <w:vAlign w:val="center"/>
          </w:tcPr>
          <w:p w14:paraId="33A4EFEC" w14:textId="77777777" w:rsidR="00940A48" w:rsidRDefault="00000000">
            <w:pPr>
              <w:spacing w:before="20" w:after="40" w:line="257" w:lineRule="auto"/>
            </w:pPr>
            <w:r>
              <w:rPr>
                <w:rFonts w:ascii="Arial" w:eastAsia="Arial" w:hAnsi="Arial" w:cs="Arial"/>
                <w:b/>
                <w:color w:val="FFFFFF"/>
                <w:sz w:val="20"/>
              </w:rPr>
              <w:t>Последствие ошибки</w:t>
            </w:r>
          </w:p>
        </w:tc>
      </w:tr>
      <w:tr w:rsidR="00940A48" w14:paraId="65492929" w14:textId="77777777">
        <w:trPr>
          <w:cantSplit/>
          <w:jc w:val="center"/>
        </w:trPr>
        <w:tc>
          <w:tcPr>
            <w:tcW w:w="2098" w:type="dxa"/>
            <w:shd w:val="clear" w:color="auto" w:fill="F0F4F6"/>
            <w:tcMar>
              <w:top w:w="90" w:type="dxa"/>
              <w:left w:w="105" w:type="dxa"/>
              <w:bottom w:w="90" w:type="dxa"/>
              <w:right w:w="105" w:type="dxa"/>
            </w:tcMar>
            <w:vAlign w:val="center"/>
          </w:tcPr>
          <w:p w14:paraId="434837A8" w14:textId="77777777" w:rsidR="00940A48" w:rsidRDefault="00000000">
            <w:pPr>
              <w:spacing w:before="20" w:after="40" w:line="257" w:lineRule="auto"/>
            </w:pPr>
            <w:r>
              <w:rPr>
                <w:rFonts w:ascii="Arial" w:eastAsia="Arial" w:hAnsi="Arial" w:cs="Arial"/>
                <w:color w:val="19354A"/>
                <w:sz w:val="20"/>
              </w:rPr>
              <w:t>Интерфейс</w:t>
            </w:r>
          </w:p>
        </w:tc>
        <w:tc>
          <w:tcPr>
            <w:tcW w:w="3969" w:type="dxa"/>
            <w:shd w:val="clear" w:color="auto" w:fill="F0F4F6"/>
            <w:tcMar>
              <w:top w:w="90" w:type="dxa"/>
              <w:left w:w="105" w:type="dxa"/>
              <w:bottom w:w="90" w:type="dxa"/>
              <w:right w:w="105" w:type="dxa"/>
            </w:tcMar>
            <w:vAlign w:val="center"/>
          </w:tcPr>
          <w:p w14:paraId="448BF775" w14:textId="77777777" w:rsidR="00940A48" w:rsidRDefault="00000000">
            <w:pPr>
              <w:spacing w:before="20" w:after="40" w:line="257" w:lineRule="auto"/>
            </w:pPr>
            <w:r>
              <w:rPr>
                <w:rFonts w:ascii="Arial" w:eastAsia="Arial" w:hAnsi="Arial" w:cs="Arial"/>
                <w:color w:val="19354A"/>
                <w:sz w:val="20"/>
              </w:rPr>
              <w:t>Что понимает и может сделать пользователь?</w:t>
            </w:r>
          </w:p>
        </w:tc>
        <w:tc>
          <w:tcPr>
            <w:tcW w:w="3458" w:type="dxa"/>
            <w:shd w:val="clear" w:color="auto" w:fill="F0F4F6"/>
            <w:tcMar>
              <w:top w:w="90" w:type="dxa"/>
              <w:left w:w="105" w:type="dxa"/>
              <w:bottom w:w="90" w:type="dxa"/>
              <w:right w:w="105" w:type="dxa"/>
            </w:tcMar>
            <w:vAlign w:val="center"/>
          </w:tcPr>
          <w:p w14:paraId="48A10BA9" w14:textId="77777777" w:rsidR="00940A48" w:rsidRDefault="00000000">
            <w:pPr>
              <w:spacing w:before="20" w:after="40" w:line="257" w:lineRule="auto"/>
            </w:pPr>
            <w:r>
              <w:rPr>
                <w:rFonts w:ascii="Arial" w:eastAsia="Arial" w:hAnsi="Arial" w:cs="Arial"/>
                <w:color w:val="19354A"/>
                <w:sz w:val="20"/>
              </w:rPr>
              <w:t>Ошибочное действие</w:t>
            </w:r>
          </w:p>
        </w:tc>
      </w:tr>
      <w:tr w:rsidR="00940A48" w14:paraId="779B118D" w14:textId="77777777">
        <w:trPr>
          <w:cantSplit/>
          <w:jc w:val="center"/>
        </w:trPr>
        <w:tc>
          <w:tcPr>
            <w:tcW w:w="2098" w:type="dxa"/>
            <w:tcMar>
              <w:top w:w="90" w:type="dxa"/>
              <w:left w:w="105" w:type="dxa"/>
              <w:bottom w:w="90" w:type="dxa"/>
              <w:right w:w="105" w:type="dxa"/>
            </w:tcMar>
            <w:vAlign w:val="center"/>
          </w:tcPr>
          <w:p w14:paraId="42BCF0C5" w14:textId="77777777" w:rsidR="00940A48" w:rsidRDefault="00000000">
            <w:pPr>
              <w:spacing w:before="20" w:after="40" w:line="257" w:lineRule="auto"/>
            </w:pPr>
            <w:r>
              <w:rPr>
                <w:rFonts w:ascii="Arial" w:eastAsia="Arial" w:hAnsi="Arial" w:cs="Arial"/>
                <w:color w:val="19354A"/>
                <w:sz w:val="20"/>
              </w:rPr>
              <w:t>Бизнес-логика</w:t>
            </w:r>
          </w:p>
        </w:tc>
        <w:tc>
          <w:tcPr>
            <w:tcW w:w="3969" w:type="dxa"/>
            <w:tcMar>
              <w:top w:w="90" w:type="dxa"/>
              <w:left w:w="105" w:type="dxa"/>
              <w:bottom w:w="90" w:type="dxa"/>
              <w:right w:w="105" w:type="dxa"/>
            </w:tcMar>
            <w:vAlign w:val="center"/>
          </w:tcPr>
          <w:p w14:paraId="656D9E77" w14:textId="77777777" w:rsidR="00940A48" w:rsidRDefault="00000000">
            <w:pPr>
              <w:spacing w:before="20" w:after="40" w:line="257" w:lineRule="auto"/>
            </w:pPr>
            <w:r>
              <w:rPr>
                <w:rFonts w:ascii="Arial" w:eastAsia="Arial" w:hAnsi="Arial" w:cs="Arial"/>
                <w:color w:val="19354A"/>
                <w:sz w:val="20"/>
              </w:rPr>
              <w:t>Как применяются правила бронирования?</w:t>
            </w:r>
          </w:p>
        </w:tc>
        <w:tc>
          <w:tcPr>
            <w:tcW w:w="3458" w:type="dxa"/>
            <w:tcMar>
              <w:top w:w="90" w:type="dxa"/>
              <w:left w:w="105" w:type="dxa"/>
              <w:bottom w:w="90" w:type="dxa"/>
              <w:right w:w="105" w:type="dxa"/>
            </w:tcMar>
            <w:vAlign w:val="center"/>
          </w:tcPr>
          <w:p w14:paraId="39652076" w14:textId="77777777" w:rsidR="00940A48" w:rsidRDefault="00000000">
            <w:pPr>
              <w:spacing w:before="20" w:after="40" w:line="257" w:lineRule="auto"/>
            </w:pPr>
            <w:r>
              <w:rPr>
                <w:rFonts w:ascii="Arial" w:eastAsia="Arial" w:hAnsi="Arial" w:cs="Arial"/>
                <w:color w:val="19354A"/>
                <w:sz w:val="20"/>
              </w:rPr>
              <w:t>Конфликт или недопустимое подтверждение</w:t>
            </w:r>
          </w:p>
        </w:tc>
      </w:tr>
      <w:tr w:rsidR="00940A48" w14:paraId="0AA3D258" w14:textId="77777777">
        <w:trPr>
          <w:cantSplit/>
          <w:jc w:val="center"/>
        </w:trPr>
        <w:tc>
          <w:tcPr>
            <w:tcW w:w="2098" w:type="dxa"/>
            <w:shd w:val="clear" w:color="auto" w:fill="F0F4F6"/>
            <w:tcMar>
              <w:top w:w="90" w:type="dxa"/>
              <w:left w:w="105" w:type="dxa"/>
              <w:bottom w:w="90" w:type="dxa"/>
              <w:right w:w="105" w:type="dxa"/>
            </w:tcMar>
            <w:vAlign w:val="center"/>
          </w:tcPr>
          <w:p w14:paraId="12FD4164" w14:textId="77777777" w:rsidR="00940A48" w:rsidRDefault="00000000">
            <w:pPr>
              <w:spacing w:before="20" w:after="40" w:line="257" w:lineRule="auto"/>
            </w:pPr>
            <w:r>
              <w:rPr>
                <w:rFonts w:ascii="Arial" w:eastAsia="Arial" w:hAnsi="Arial" w:cs="Arial"/>
                <w:color w:val="19354A"/>
                <w:sz w:val="20"/>
              </w:rPr>
              <w:t>Хранилище</w:t>
            </w:r>
          </w:p>
        </w:tc>
        <w:tc>
          <w:tcPr>
            <w:tcW w:w="3969" w:type="dxa"/>
            <w:shd w:val="clear" w:color="auto" w:fill="F0F4F6"/>
            <w:tcMar>
              <w:top w:w="90" w:type="dxa"/>
              <w:left w:w="105" w:type="dxa"/>
              <w:bottom w:w="90" w:type="dxa"/>
              <w:right w:w="105" w:type="dxa"/>
            </w:tcMar>
            <w:vAlign w:val="center"/>
          </w:tcPr>
          <w:p w14:paraId="18C253DA" w14:textId="77777777" w:rsidR="00940A48" w:rsidRDefault="00000000">
            <w:pPr>
              <w:spacing w:before="20" w:after="40" w:line="257" w:lineRule="auto"/>
            </w:pPr>
            <w:r>
              <w:rPr>
                <w:rFonts w:ascii="Arial" w:eastAsia="Arial" w:hAnsi="Arial" w:cs="Arial"/>
                <w:color w:val="19354A"/>
                <w:sz w:val="20"/>
              </w:rPr>
              <w:t>Какая запись является достоверной?</w:t>
            </w:r>
          </w:p>
        </w:tc>
        <w:tc>
          <w:tcPr>
            <w:tcW w:w="3458" w:type="dxa"/>
            <w:shd w:val="clear" w:color="auto" w:fill="F0F4F6"/>
            <w:tcMar>
              <w:top w:w="90" w:type="dxa"/>
              <w:left w:w="105" w:type="dxa"/>
              <w:bottom w:w="90" w:type="dxa"/>
              <w:right w:w="105" w:type="dxa"/>
            </w:tcMar>
            <w:vAlign w:val="center"/>
          </w:tcPr>
          <w:p w14:paraId="72178059" w14:textId="77777777" w:rsidR="00940A48" w:rsidRDefault="00000000">
            <w:pPr>
              <w:spacing w:before="20" w:after="40" w:line="257" w:lineRule="auto"/>
            </w:pPr>
            <w:r>
              <w:rPr>
                <w:rFonts w:ascii="Arial" w:eastAsia="Arial" w:hAnsi="Arial" w:cs="Arial"/>
                <w:color w:val="19354A"/>
                <w:sz w:val="20"/>
              </w:rPr>
              <w:t>Потеря либо расхождение данных</w:t>
            </w:r>
          </w:p>
        </w:tc>
      </w:tr>
      <w:tr w:rsidR="00940A48" w14:paraId="3924C716" w14:textId="77777777">
        <w:trPr>
          <w:cantSplit/>
          <w:jc w:val="center"/>
        </w:trPr>
        <w:tc>
          <w:tcPr>
            <w:tcW w:w="2098" w:type="dxa"/>
            <w:tcMar>
              <w:top w:w="90" w:type="dxa"/>
              <w:left w:w="105" w:type="dxa"/>
              <w:bottom w:w="90" w:type="dxa"/>
              <w:right w:w="105" w:type="dxa"/>
            </w:tcMar>
            <w:vAlign w:val="center"/>
          </w:tcPr>
          <w:p w14:paraId="49C91EC2" w14:textId="77777777" w:rsidR="00940A48" w:rsidRDefault="00000000">
            <w:pPr>
              <w:spacing w:before="20" w:after="40" w:line="257" w:lineRule="auto"/>
            </w:pPr>
            <w:r>
              <w:rPr>
                <w:rFonts w:ascii="Arial" w:eastAsia="Arial" w:hAnsi="Arial" w:cs="Arial"/>
                <w:color w:val="19354A"/>
                <w:sz w:val="20"/>
              </w:rPr>
              <w:t>Авторизация</w:t>
            </w:r>
          </w:p>
        </w:tc>
        <w:tc>
          <w:tcPr>
            <w:tcW w:w="3969" w:type="dxa"/>
            <w:tcMar>
              <w:top w:w="90" w:type="dxa"/>
              <w:left w:w="105" w:type="dxa"/>
              <w:bottom w:w="90" w:type="dxa"/>
              <w:right w:w="105" w:type="dxa"/>
            </w:tcMar>
            <w:vAlign w:val="center"/>
          </w:tcPr>
          <w:p w14:paraId="43ADD96F" w14:textId="77777777" w:rsidR="00940A48" w:rsidRDefault="00000000">
            <w:pPr>
              <w:spacing w:before="20" w:after="40" w:line="257" w:lineRule="auto"/>
            </w:pPr>
            <w:r>
              <w:rPr>
                <w:rFonts w:ascii="Arial" w:eastAsia="Arial" w:hAnsi="Arial" w:cs="Arial"/>
                <w:color w:val="19354A"/>
                <w:sz w:val="20"/>
              </w:rPr>
              <w:t>Кому разрешено действие?</w:t>
            </w:r>
          </w:p>
        </w:tc>
        <w:tc>
          <w:tcPr>
            <w:tcW w:w="3458" w:type="dxa"/>
            <w:tcMar>
              <w:top w:w="90" w:type="dxa"/>
              <w:left w:w="105" w:type="dxa"/>
              <w:bottom w:w="90" w:type="dxa"/>
              <w:right w:w="105" w:type="dxa"/>
            </w:tcMar>
            <w:vAlign w:val="center"/>
          </w:tcPr>
          <w:p w14:paraId="7F7B52CF" w14:textId="77777777" w:rsidR="00940A48" w:rsidRDefault="00000000">
            <w:pPr>
              <w:spacing w:before="20" w:after="40" w:line="257" w:lineRule="auto"/>
            </w:pPr>
            <w:r>
              <w:rPr>
                <w:rFonts w:ascii="Arial" w:eastAsia="Arial" w:hAnsi="Arial" w:cs="Arial"/>
                <w:color w:val="19354A"/>
                <w:sz w:val="20"/>
              </w:rPr>
              <w:t>Необоснованный доступ</w:t>
            </w:r>
          </w:p>
        </w:tc>
      </w:tr>
      <w:tr w:rsidR="00940A48" w14:paraId="7F76B0D3" w14:textId="77777777">
        <w:trPr>
          <w:cantSplit/>
          <w:jc w:val="center"/>
        </w:trPr>
        <w:tc>
          <w:tcPr>
            <w:tcW w:w="2098" w:type="dxa"/>
            <w:shd w:val="clear" w:color="auto" w:fill="F0F4F6"/>
            <w:tcMar>
              <w:top w:w="90" w:type="dxa"/>
              <w:left w:w="105" w:type="dxa"/>
              <w:bottom w:w="90" w:type="dxa"/>
              <w:right w:w="105" w:type="dxa"/>
            </w:tcMar>
            <w:vAlign w:val="center"/>
          </w:tcPr>
          <w:p w14:paraId="52F66272" w14:textId="77777777" w:rsidR="00940A48" w:rsidRDefault="00000000">
            <w:pPr>
              <w:spacing w:before="20" w:after="40" w:line="257" w:lineRule="auto"/>
            </w:pPr>
            <w:r>
              <w:rPr>
                <w:rFonts w:ascii="Arial" w:eastAsia="Arial" w:hAnsi="Arial" w:cs="Arial"/>
                <w:color w:val="19354A"/>
                <w:sz w:val="20"/>
              </w:rPr>
              <w:t>Уведомления</w:t>
            </w:r>
          </w:p>
        </w:tc>
        <w:tc>
          <w:tcPr>
            <w:tcW w:w="3969" w:type="dxa"/>
            <w:shd w:val="clear" w:color="auto" w:fill="F0F4F6"/>
            <w:tcMar>
              <w:top w:w="90" w:type="dxa"/>
              <w:left w:w="105" w:type="dxa"/>
              <w:bottom w:w="90" w:type="dxa"/>
              <w:right w:w="105" w:type="dxa"/>
            </w:tcMar>
            <w:vAlign w:val="center"/>
          </w:tcPr>
          <w:p w14:paraId="512B85E1" w14:textId="77777777" w:rsidR="00940A48" w:rsidRDefault="00000000">
            <w:pPr>
              <w:spacing w:before="20" w:after="40" w:line="257" w:lineRule="auto"/>
            </w:pPr>
            <w:r>
              <w:rPr>
                <w:rFonts w:ascii="Arial" w:eastAsia="Arial" w:hAnsi="Arial" w:cs="Arial"/>
                <w:color w:val="19354A"/>
                <w:sz w:val="20"/>
              </w:rPr>
              <w:t>Как сообщается изменение состояния?</w:t>
            </w:r>
          </w:p>
        </w:tc>
        <w:tc>
          <w:tcPr>
            <w:tcW w:w="3458" w:type="dxa"/>
            <w:shd w:val="clear" w:color="auto" w:fill="F0F4F6"/>
            <w:tcMar>
              <w:top w:w="90" w:type="dxa"/>
              <w:left w:w="105" w:type="dxa"/>
              <w:bottom w:w="90" w:type="dxa"/>
              <w:right w:w="105" w:type="dxa"/>
            </w:tcMar>
            <w:vAlign w:val="center"/>
          </w:tcPr>
          <w:p w14:paraId="0DBBFA1C" w14:textId="77777777" w:rsidR="00940A48" w:rsidRDefault="00000000">
            <w:pPr>
              <w:spacing w:before="20" w:after="40" w:line="257" w:lineRule="auto"/>
            </w:pPr>
            <w:r>
              <w:rPr>
                <w:rFonts w:ascii="Arial" w:eastAsia="Arial" w:hAnsi="Arial" w:cs="Arial"/>
                <w:color w:val="19354A"/>
                <w:sz w:val="20"/>
              </w:rPr>
              <w:t>Пользователь действует по устаревшим сведениям</w:t>
            </w:r>
          </w:p>
        </w:tc>
      </w:tr>
    </w:tbl>
    <w:p w14:paraId="076A98C0" w14:textId="77777777" w:rsidR="00940A48" w:rsidRDefault="00940A48">
      <w:pPr>
        <w:spacing w:after="20" w:line="36" w:lineRule="auto"/>
      </w:pPr>
    </w:p>
    <w:p w14:paraId="1F72A83D" w14:textId="77777777" w:rsidR="00940A48" w:rsidRDefault="00000000">
      <w:pPr>
        <w:pStyle w:val="21"/>
      </w:pPr>
      <w:r>
        <w:t>Требование раньше технологии</w:t>
      </w:r>
    </w:p>
    <w:p w14:paraId="0CACDF44" w14:textId="77777777" w:rsidR="00940A48" w:rsidRDefault="00000000">
      <w:r>
        <w:t>Если прибор нельзя одновременно выдать двум пользователям, проекту требуется механизм согласованного резервирования. Это требование не решается только красивым календарем. Инженер предложит способ реализации, а руководитель проверит, учтены ли сценарий, сроки, тесты и эксплуатация.</w:t>
      </w:r>
    </w:p>
    <w:p w14:paraId="5EFDE288" w14:textId="77777777" w:rsidR="00940A48" w:rsidRDefault="00000000">
      <w:r>
        <w:t>Отдельно фиксируют внешние зависимости. Для каждой нужны владелец, условия доступа, ограничения использования и резервный сценарий. Наличие документации API не означает, что конкретному проекту уже разрешен доступ. Проверка полномочий и работоспособности подключения должна появиться в плане до обещания даты запуска.</w:t>
      </w:r>
    </w:p>
    <w:p w14:paraId="4CE86967" w14:textId="77777777" w:rsidR="00940A48" w:rsidRDefault="00000000">
      <w:r>
        <w:br w:type="page"/>
      </w:r>
    </w:p>
    <w:p w14:paraId="0B2060C6" w14:textId="77777777" w:rsidR="00940A48" w:rsidRDefault="00000000">
      <w:pPr>
        <w:pStyle w:val="1"/>
      </w:pPr>
      <w:r>
        <w:lastRenderedPageBreak/>
        <w:t>2. Монолит, модули и микросервисы</w:t>
      </w:r>
    </w:p>
    <w:p w14:paraId="742D42ED" w14:textId="77777777" w:rsidR="00940A48" w:rsidRDefault="00000000">
      <w:r>
        <w:t>Монолитное приложение обычно развертывается как единое целое; микросервисная система состоит из отдельно взаимодействующих сервисов. Модульность относится к ясности внутренних границ и может существовать в обоих вариантах. Поэтому «единое развертывание» не обязательно означает хаотичный код, а множество сервисов — хорошее разделение ответственности.</w:t>
      </w:r>
    </w:p>
    <w:tbl>
      <w:tblPr>
        <w:tblW w:w="0" w:type="auto"/>
        <w:jc w:val="center"/>
        <w:tblLayout w:type="fixed"/>
        <w:tblLook w:val="04A0" w:firstRow="1" w:lastRow="0" w:firstColumn="1" w:lastColumn="0" w:noHBand="0" w:noVBand="1"/>
      </w:tblPr>
      <w:tblGrid>
        <w:gridCol w:w="2268"/>
        <w:gridCol w:w="3628"/>
        <w:gridCol w:w="3628"/>
      </w:tblGrid>
      <w:tr w:rsidR="00940A48" w14:paraId="3495DED7" w14:textId="77777777">
        <w:trPr>
          <w:cantSplit/>
          <w:tblHeader/>
          <w:jc w:val="center"/>
        </w:trPr>
        <w:tc>
          <w:tcPr>
            <w:tcW w:w="2268" w:type="dxa"/>
            <w:shd w:val="clear" w:color="auto" w:fill="19354A"/>
            <w:tcMar>
              <w:top w:w="90" w:type="dxa"/>
              <w:left w:w="105" w:type="dxa"/>
              <w:bottom w:w="90" w:type="dxa"/>
              <w:right w:w="105" w:type="dxa"/>
            </w:tcMar>
            <w:vAlign w:val="center"/>
          </w:tcPr>
          <w:p w14:paraId="076D6461" w14:textId="77777777" w:rsidR="00940A48" w:rsidRDefault="00000000">
            <w:pPr>
              <w:spacing w:before="20" w:after="40" w:line="257" w:lineRule="auto"/>
            </w:pPr>
            <w:r>
              <w:rPr>
                <w:rFonts w:ascii="Arial" w:eastAsia="Arial" w:hAnsi="Arial" w:cs="Arial"/>
                <w:b/>
                <w:color w:val="FFFFFF"/>
                <w:sz w:val="20"/>
              </w:rPr>
              <w:t>Аспект</w:t>
            </w:r>
          </w:p>
        </w:tc>
        <w:tc>
          <w:tcPr>
            <w:tcW w:w="3628" w:type="dxa"/>
            <w:shd w:val="clear" w:color="auto" w:fill="19354A"/>
            <w:tcMar>
              <w:top w:w="90" w:type="dxa"/>
              <w:left w:w="105" w:type="dxa"/>
              <w:bottom w:w="90" w:type="dxa"/>
              <w:right w:w="105" w:type="dxa"/>
            </w:tcMar>
            <w:vAlign w:val="center"/>
          </w:tcPr>
          <w:p w14:paraId="0AB08E78" w14:textId="77777777" w:rsidR="00940A48" w:rsidRDefault="00000000">
            <w:pPr>
              <w:spacing w:before="20" w:after="40" w:line="257" w:lineRule="auto"/>
            </w:pPr>
            <w:r>
              <w:rPr>
                <w:rFonts w:ascii="Arial" w:eastAsia="Arial" w:hAnsi="Arial" w:cs="Arial"/>
                <w:b/>
                <w:color w:val="FFFFFF"/>
                <w:sz w:val="20"/>
              </w:rPr>
              <w:t>Единое приложение</w:t>
            </w:r>
          </w:p>
        </w:tc>
        <w:tc>
          <w:tcPr>
            <w:tcW w:w="3628" w:type="dxa"/>
            <w:shd w:val="clear" w:color="auto" w:fill="19354A"/>
            <w:tcMar>
              <w:top w:w="90" w:type="dxa"/>
              <w:left w:w="105" w:type="dxa"/>
              <w:bottom w:w="90" w:type="dxa"/>
              <w:right w:w="105" w:type="dxa"/>
            </w:tcMar>
            <w:vAlign w:val="center"/>
          </w:tcPr>
          <w:p w14:paraId="32565209" w14:textId="77777777" w:rsidR="00940A48" w:rsidRDefault="00000000">
            <w:pPr>
              <w:spacing w:before="20" w:after="40" w:line="257" w:lineRule="auto"/>
            </w:pPr>
            <w:r>
              <w:rPr>
                <w:rFonts w:ascii="Arial" w:eastAsia="Arial" w:hAnsi="Arial" w:cs="Arial"/>
                <w:b/>
                <w:color w:val="FFFFFF"/>
                <w:sz w:val="20"/>
              </w:rPr>
              <w:t>Раздельные сервисы</w:t>
            </w:r>
          </w:p>
        </w:tc>
      </w:tr>
      <w:tr w:rsidR="00940A48" w14:paraId="434D355B" w14:textId="77777777">
        <w:trPr>
          <w:cantSplit/>
          <w:jc w:val="center"/>
        </w:trPr>
        <w:tc>
          <w:tcPr>
            <w:tcW w:w="2268" w:type="dxa"/>
            <w:shd w:val="clear" w:color="auto" w:fill="F0F4F6"/>
            <w:tcMar>
              <w:top w:w="90" w:type="dxa"/>
              <w:left w:w="105" w:type="dxa"/>
              <w:bottom w:w="90" w:type="dxa"/>
              <w:right w:w="105" w:type="dxa"/>
            </w:tcMar>
            <w:vAlign w:val="center"/>
          </w:tcPr>
          <w:p w14:paraId="7492A117" w14:textId="77777777" w:rsidR="00940A48" w:rsidRDefault="00000000">
            <w:pPr>
              <w:spacing w:before="20" w:after="40" w:line="257" w:lineRule="auto"/>
            </w:pPr>
            <w:r>
              <w:rPr>
                <w:rFonts w:ascii="Arial" w:eastAsia="Arial" w:hAnsi="Arial" w:cs="Arial"/>
                <w:color w:val="19354A"/>
                <w:sz w:val="20"/>
              </w:rPr>
              <w:t>Выпуск</w:t>
            </w:r>
          </w:p>
        </w:tc>
        <w:tc>
          <w:tcPr>
            <w:tcW w:w="3628" w:type="dxa"/>
            <w:shd w:val="clear" w:color="auto" w:fill="F0F4F6"/>
            <w:tcMar>
              <w:top w:w="90" w:type="dxa"/>
              <w:left w:w="105" w:type="dxa"/>
              <w:bottom w:w="90" w:type="dxa"/>
              <w:right w:w="105" w:type="dxa"/>
            </w:tcMar>
            <w:vAlign w:val="center"/>
          </w:tcPr>
          <w:p w14:paraId="383AD808" w14:textId="77777777" w:rsidR="00940A48" w:rsidRDefault="00000000">
            <w:pPr>
              <w:spacing w:before="20" w:after="40" w:line="257" w:lineRule="auto"/>
            </w:pPr>
            <w:r>
              <w:rPr>
                <w:rFonts w:ascii="Arial" w:eastAsia="Arial" w:hAnsi="Arial" w:cs="Arial"/>
                <w:color w:val="19354A"/>
                <w:sz w:val="20"/>
              </w:rPr>
              <w:t>Общий цикл развертывания</w:t>
            </w:r>
          </w:p>
        </w:tc>
        <w:tc>
          <w:tcPr>
            <w:tcW w:w="3628" w:type="dxa"/>
            <w:shd w:val="clear" w:color="auto" w:fill="F0F4F6"/>
            <w:tcMar>
              <w:top w:w="90" w:type="dxa"/>
              <w:left w:w="105" w:type="dxa"/>
              <w:bottom w:w="90" w:type="dxa"/>
              <w:right w:w="105" w:type="dxa"/>
            </w:tcMar>
            <w:vAlign w:val="center"/>
          </w:tcPr>
          <w:p w14:paraId="447E7B4E" w14:textId="77777777" w:rsidR="00940A48" w:rsidRDefault="00000000">
            <w:pPr>
              <w:spacing w:before="20" w:after="40" w:line="257" w:lineRule="auto"/>
            </w:pPr>
            <w:r>
              <w:rPr>
                <w:rFonts w:ascii="Arial" w:eastAsia="Arial" w:hAnsi="Arial" w:cs="Arial"/>
                <w:color w:val="19354A"/>
                <w:sz w:val="20"/>
              </w:rPr>
              <w:t>Возможны независимые выпуски</w:t>
            </w:r>
          </w:p>
        </w:tc>
      </w:tr>
      <w:tr w:rsidR="00940A48" w14:paraId="46762F9E" w14:textId="77777777">
        <w:trPr>
          <w:cantSplit/>
          <w:jc w:val="center"/>
        </w:trPr>
        <w:tc>
          <w:tcPr>
            <w:tcW w:w="2268" w:type="dxa"/>
            <w:tcMar>
              <w:top w:w="90" w:type="dxa"/>
              <w:left w:w="105" w:type="dxa"/>
              <w:bottom w:w="90" w:type="dxa"/>
              <w:right w:w="105" w:type="dxa"/>
            </w:tcMar>
            <w:vAlign w:val="center"/>
          </w:tcPr>
          <w:p w14:paraId="0404AB9E" w14:textId="77777777" w:rsidR="00940A48" w:rsidRDefault="00000000">
            <w:pPr>
              <w:spacing w:before="20" w:after="40" w:line="257" w:lineRule="auto"/>
            </w:pPr>
            <w:r>
              <w:rPr>
                <w:rFonts w:ascii="Arial" w:eastAsia="Arial" w:hAnsi="Arial" w:cs="Arial"/>
                <w:color w:val="19354A"/>
                <w:sz w:val="20"/>
              </w:rPr>
              <w:t>Связи</w:t>
            </w:r>
          </w:p>
        </w:tc>
        <w:tc>
          <w:tcPr>
            <w:tcW w:w="3628" w:type="dxa"/>
            <w:tcMar>
              <w:top w:w="90" w:type="dxa"/>
              <w:left w:w="105" w:type="dxa"/>
              <w:bottom w:w="90" w:type="dxa"/>
              <w:right w:w="105" w:type="dxa"/>
            </w:tcMar>
            <w:vAlign w:val="center"/>
          </w:tcPr>
          <w:p w14:paraId="423891C8" w14:textId="77777777" w:rsidR="00940A48" w:rsidRDefault="00000000">
            <w:pPr>
              <w:spacing w:before="20" w:after="40" w:line="257" w:lineRule="auto"/>
            </w:pPr>
            <w:r>
              <w:rPr>
                <w:rFonts w:ascii="Arial" w:eastAsia="Arial" w:hAnsi="Arial" w:cs="Arial"/>
                <w:color w:val="19354A"/>
                <w:sz w:val="20"/>
              </w:rPr>
              <w:t>Часть взаимодействий внутри процесса</w:t>
            </w:r>
          </w:p>
        </w:tc>
        <w:tc>
          <w:tcPr>
            <w:tcW w:w="3628" w:type="dxa"/>
            <w:tcMar>
              <w:top w:w="90" w:type="dxa"/>
              <w:left w:w="105" w:type="dxa"/>
              <w:bottom w:w="90" w:type="dxa"/>
              <w:right w:w="105" w:type="dxa"/>
            </w:tcMar>
            <w:vAlign w:val="center"/>
          </w:tcPr>
          <w:p w14:paraId="0F3D8724" w14:textId="77777777" w:rsidR="00940A48" w:rsidRDefault="00000000">
            <w:pPr>
              <w:spacing w:before="20" w:after="40" w:line="257" w:lineRule="auto"/>
            </w:pPr>
            <w:r>
              <w:rPr>
                <w:rFonts w:ascii="Arial" w:eastAsia="Arial" w:hAnsi="Arial" w:cs="Arial"/>
                <w:color w:val="19354A"/>
                <w:sz w:val="20"/>
              </w:rPr>
              <w:t>Нужны сетевые контракты</w:t>
            </w:r>
          </w:p>
        </w:tc>
      </w:tr>
      <w:tr w:rsidR="00940A48" w14:paraId="62FCEA09" w14:textId="77777777">
        <w:trPr>
          <w:cantSplit/>
          <w:jc w:val="center"/>
        </w:trPr>
        <w:tc>
          <w:tcPr>
            <w:tcW w:w="2268" w:type="dxa"/>
            <w:shd w:val="clear" w:color="auto" w:fill="F0F4F6"/>
            <w:tcMar>
              <w:top w:w="90" w:type="dxa"/>
              <w:left w:w="105" w:type="dxa"/>
              <w:bottom w:w="90" w:type="dxa"/>
              <w:right w:w="105" w:type="dxa"/>
            </w:tcMar>
            <w:vAlign w:val="center"/>
          </w:tcPr>
          <w:p w14:paraId="3F0D9B70" w14:textId="77777777" w:rsidR="00940A48" w:rsidRDefault="00000000">
            <w:pPr>
              <w:spacing w:before="20" w:after="40" w:line="257" w:lineRule="auto"/>
            </w:pPr>
            <w:r>
              <w:rPr>
                <w:rFonts w:ascii="Arial" w:eastAsia="Arial" w:hAnsi="Arial" w:cs="Arial"/>
                <w:color w:val="19354A"/>
                <w:sz w:val="20"/>
              </w:rPr>
              <w:t>Диагностика</w:t>
            </w:r>
          </w:p>
        </w:tc>
        <w:tc>
          <w:tcPr>
            <w:tcW w:w="3628" w:type="dxa"/>
            <w:shd w:val="clear" w:color="auto" w:fill="F0F4F6"/>
            <w:tcMar>
              <w:top w:w="90" w:type="dxa"/>
              <w:left w:w="105" w:type="dxa"/>
              <w:bottom w:w="90" w:type="dxa"/>
              <w:right w:w="105" w:type="dxa"/>
            </w:tcMar>
            <w:vAlign w:val="center"/>
          </w:tcPr>
          <w:p w14:paraId="0810E5C4" w14:textId="77777777" w:rsidR="00940A48" w:rsidRDefault="00000000">
            <w:pPr>
              <w:spacing w:before="20" w:after="40" w:line="257" w:lineRule="auto"/>
            </w:pPr>
            <w:r>
              <w:rPr>
                <w:rFonts w:ascii="Arial" w:eastAsia="Arial" w:hAnsi="Arial" w:cs="Arial"/>
                <w:color w:val="19354A"/>
                <w:sz w:val="20"/>
              </w:rPr>
              <w:t>Меньше распределенных границ</w:t>
            </w:r>
          </w:p>
        </w:tc>
        <w:tc>
          <w:tcPr>
            <w:tcW w:w="3628" w:type="dxa"/>
            <w:shd w:val="clear" w:color="auto" w:fill="F0F4F6"/>
            <w:tcMar>
              <w:top w:w="90" w:type="dxa"/>
              <w:left w:w="105" w:type="dxa"/>
              <w:bottom w:w="90" w:type="dxa"/>
              <w:right w:w="105" w:type="dxa"/>
            </w:tcMar>
            <w:vAlign w:val="center"/>
          </w:tcPr>
          <w:p w14:paraId="0B4B4E06" w14:textId="77777777" w:rsidR="00940A48" w:rsidRDefault="00000000">
            <w:pPr>
              <w:spacing w:before="20" w:after="40" w:line="257" w:lineRule="auto"/>
            </w:pPr>
            <w:r>
              <w:rPr>
                <w:rFonts w:ascii="Arial" w:eastAsia="Arial" w:hAnsi="Arial" w:cs="Arial"/>
                <w:color w:val="19354A"/>
                <w:sz w:val="20"/>
              </w:rPr>
              <w:t>Нужно связывать события разных частей</w:t>
            </w:r>
          </w:p>
        </w:tc>
      </w:tr>
      <w:tr w:rsidR="00940A48" w14:paraId="4D21762E" w14:textId="77777777">
        <w:trPr>
          <w:cantSplit/>
          <w:jc w:val="center"/>
        </w:trPr>
        <w:tc>
          <w:tcPr>
            <w:tcW w:w="2268" w:type="dxa"/>
            <w:tcMar>
              <w:top w:w="90" w:type="dxa"/>
              <w:left w:w="105" w:type="dxa"/>
              <w:bottom w:w="90" w:type="dxa"/>
              <w:right w:w="105" w:type="dxa"/>
            </w:tcMar>
            <w:vAlign w:val="center"/>
          </w:tcPr>
          <w:p w14:paraId="1BAB3B68" w14:textId="77777777" w:rsidR="00940A48" w:rsidRDefault="00000000">
            <w:pPr>
              <w:spacing w:before="20" w:after="40" w:line="257" w:lineRule="auto"/>
            </w:pPr>
            <w:r>
              <w:rPr>
                <w:rFonts w:ascii="Arial" w:eastAsia="Arial" w:hAnsi="Arial" w:cs="Arial"/>
                <w:color w:val="19354A"/>
                <w:sz w:val="20"/>
              </w:rPr>
              <w:t>Команда</w:t>
            </w:r>
          </w:p>
        </w:tc>
        <w:tc>
          <w:tcPr>
            <w:tcW w:w="3628" w:type="dxa"/>
            <w:tcMar>
              <w:top w:w="90" w:type="dxa"/>
              <w:left w:w="105" w:type="dxa"/>
              <w:bottom w:w="90" w:type="dxa"/>
              <w:right w:w="105" w:type="dxa"/>
            </w:tcMar>
            <w:vAlign w:val="center"/>
          </w:tcPr>
          <w:p w14:paraId="1312B9FC" w14:textId="77777777" w:rsidR="00940A48" w:rsidRDefault="00000000">
            <w:pPr>
              <w:spacing w:before="20" w:after="40" w:line="257" w:lineRule="auto"/>
            </w:pPr>
            <w:r>
              <w:rPr>
                <w:rFonts w:ascii="Arial" w:eastAsia="Arial" w:hAnsi="Arial" w:cs="Arial"/>
                <w:color w:val="19354A"/>
                <w:sz w:val="20"/>
              </w:rPr>
              <w:t>Может быть проще при небольшом составе</w:t>
            </w:r>
          </w:p>
        </w:tc>
        <w:tc>
          <w:tcPr>
            <w:tcW w:w="3628" w:type="dxa"/>
            <w:tcMar>
              <w:top w:w="90" w:type="dxa"/>
              <w:left w:w="105" w:type="dxa"/>
              <w:bottom w:w="90" w:type="dxa"/>
              <w:right w:w="105" w:type="dxa"/>
            </w:tcMar>
            <w:vAlign w:val="center"/>
          </w:tcPr>
          <w:p w14:paraId="5075AAAC" w14:textId="77777777" w:rsidR="00940A48" w:rsidRDefault="00000000">
            <w:pPr>
              <w:spacing w:before="20" w:after="40" w:line="257" w:lineRule="auto"/>
            </w:pPr>
            <w:r>
              <w:rPr>
                <w:rFonts w:ascii="Arial" w:eastAsia="Arial" w:hAnsi="Arial" w:cs="Arial"/>
                <w:color w:val="19354A"/>
                <w:sz w:val="20"/>
              </w:rPr>
              <w:t>Нужна способность поддерживать распределенность</w:t>
            </w:r>
          </w:p>
        </w:tc>
      </w:tr>
      <w:tr w:rsidR="00940A48" w14:paraId="1F83EA3F" w14:textId="77777777">
        <w:trPr>
          <w:cantSplit/>
          <w:jc w:val="center"/>
        </w:trPr>
        <w:tc>
          <w:tcPr>
            <w:tcW w:w="2268" w:type="dxa"/>
            <w:shd w:val="clear" w:color="auto" w:fill="F0F4F6"/>
            <w:tcMar>
              <w:top w:w="90" w:type="dxa"/>
              <w:left w:w="105" w:type="dxa"/>
              <w:bottom w:w="90" w:type="dxa"/>
              <w:right w:w="105" w:type="dxa"/>
            </w:tcMar>
            <w:vAlign w:val="center"/>
          </w:tcPr>
          <w:p w14:paraId="17BF998E" w14:textId="77777777" w:rsidR="00940A48" w:rsidRDefault="00000000">
            <w:pPr>
              <w:spacing w:before="20" w:after="40" w:line="257" w:lineRule="auto"/>
            </w:pPr>
            <w:r>
              <w:rPr>
                <w:rFonts w:ascii="Arial" w:eastAsia="Arial" w:hAnsi="Arial" w:cs="Arial"/>
                <w:color w:val="19354A"/>
                <w:sz w:val="20"/>
              </w:rPr>
              <w:t>Масштабирование</w:t>
            </w:r>
          </w:p>
        </w:tc>
        <w:tc>
          <w:tcPr>
            <w:tcW w:w="3628" w:type="dxa"/>
            <w:shd w:val="clear" w:color="auto" w:fill="F0F4F6"/>
            <w:tcMar>
              <w:top w:w="90" w:type="dxa"/>
              <w:left w:w="105" w:type="dxa"/>
              <w:bottom w:w="90" w:type="dxa"/>
              <w:right w:w="105" w:type="dxa"/>
            </w:tcMar>
            <w:vAlign w:val="center"/>
          </w:tcPr>
          <w:p w14:paraId="2C72A412" w14:textId="77777777" w:rsidR="00940A48" w:rsidRDefault="00000000">
            <w:pPr>
              <w:spacing w:before="20" w:after="40" w:line="257" w:lineRule="auto"/>
            </w:pPr>
            <w:r>
              <w:rPr>
                <w:rFonts w:ascii="Arial" w:eastAsia="Arial" w:hAnsi="Arial" w:cs="Arial"/>
                <w:color w:val="19354A"/>
                <w:sz w:val="20"/>
              </w:rPr>
              <w:t>Часто масштабируется более крупный блок</w:t>
            </w:r>
          </w:p>
        </w:tc>
        <w:tc>
          <w:tcPr>
            <w:tcW w:w="3628" w:type="dxa"/>
            <w:shd w:val="clear" w:color="auto" w:fill="F0F4F6"/>
            <w:tcMar>
              <w:top w:w="90" w:type="dxa"/>
              <w:left w:w="105" w:type="dxa"/>
              <w:bottom w:w="90" w:type="dxa"/>
              <w:right w:w="105" w:type="dxa"/>
            </w:tcMar>
            <w:vAlign w:val="center"/>
          </w:tcPr>
          <w:p w14:paraId="450D04F4" w14:textId="77777777" w:rsidR="00940A48" w:rsidRDefault="00000000">
            <w:pPr>
              <w:spacing w:before="20" w:after="40" w:line="257" w:lineRule="auto"/>
            </w:pPr>
            <w:r>
              <w:rPr>
                <w:rFonts w:ascii="Arial" w:eastAsia="Arial" w:hAnsi="Arial" w:cs="Arial"/>
                <w:color w:val="19354A"/>
                <w:sz w:val="20"/>
              </w:rPr>
              <w:t>Можно изменять ресурсы отдельных частей</w:t>
            </w:r>
          </w:p>
        </w:tc>
      </w:tr>
    </w:tbl>
    <w:p w14:paraId="22BE320E" w14:textId="77777777" w:rsidR="00940A48" w:rsidRDefault="00940A48">
      <w:pPr>
        <w:spacing w:after="20" w:line="36" w:lineRule="auto"/>
      </w:pPr>
    </w:p>
    <w:p w14:paraId="7592FB47" w14:textId="77777777" w:rsidR="00940A48" w:rsidRDefault="00000000">
      <w:r>
        <w:t>Таблица показывает направления анализа, а не универсальное преимущество. В небольшом пилоте стоимость координации нескольких сервисов может превысить полезность независимых выпусков. В большой системе единый цикл, наоборот, может стать ограничением. Решение зависит от нагрузки, доменных границ, требований надежности и команды.</w:t>
      </w:r>
    </w:p>
    <w:p w14:paraId="22BEDBD7" w14:textId="77777777" w:rsidR="00940A48" w:rsidRDefault="00000000">
      <w:pPr>
        <w:pStyle w:val="21"/>
      </w:pPr>
      <w:r>
        <w:t>Технический долг</w:t>
      </w:r>
    </w:p>
    <w:p w14:paraId="0F048320" w14:textId="77777777" w:rsidR="00940A48" w:rsidRDefault="00000000">
      <w:r>
        <w:t>В учебном анализе технический долг — последствия решения, которое ускоряет текущую работу, но может увеличить будущую стоимость изменений. Важно различать сознательный компромисс с планом пересмотра и случайную небрежность. Не вся простая реализация является долгом, и не вся переработка приносит достаточную пользу.</w:t>
      </w:r>
    </w:p>
    <w:p w14:paraId="3B27290F" w14:textId="77777777" w:rsidR="00940A48" w:rsidRDefault="00000000">
      <w:r>
        <w:t>Для обсуждения запишите: что выигрываем сейчас, что усложняется потом, какой сигнал потребует изменения и сколько будет стоить переход. Это делает архитектурный выбор частью управления проектом, а не закрытым спором о предпочтениях специалистов.</w:t>
      </w:r>
    </w:p>
    <w:p w14:paraId="685EF465" w14:textId="77777777" w:rsidR="00940A48" w:rsidRDefault="00000000">
      <w:r>
        <w:br w:type="page"/>
      </w:r>
    </w:p>
    <w:p w14:paraId="1DD2BFA1" w14:textId="77777777" w:rsidR="00940A48" w:rsidRDefault="00000000">
      <w:pPr>
        <w:pStyle w:val="1"/>
      </w:pPr>
      <w:r>
        <w:lastRenderedPageBreak/>
        <w:t>3. Реальный кейс: Segment и пересмотр микросервисов</w:t>
      </w:r>
    </w:p>
    <w:p w14:paraId="390E3D69" w14:textId="77777777" w:rsidR="00940A48" w:rsidRDefault="00000000">
      <w:r>
        <w:t>Досье источника. В статье Alexandra Noonan от 10 июля 2018 года описана часть инфраструктуры Segment, доставлявшая события во внешние системы. Разделение очередей и сервисов по направлениям помогало изолировать задержки. По мере роста сопровождение множества сервисов и зависимостей стало тяжелым для небольшой команды. В описанном решении более 140 сервисов объединяли, меняли организацию очередей и сводили код в общий репозиторий [1].</w:t>
      </w:r>
    </w:p>
    <w:p w14:paraId="7256A847" w14:textId="77777777" w:rsidR="00940A48" w:rsidRDefault="00000000">
      <w:r>
        <w:t>Кейс относится к определенной подсистеме и периоду. Он не означает, что компания отказалась от всех микросервисов или что монолит универсально быстрее. Это рассказ участника об архитектурном пересмотре, а не случайный эксперимент, позволяющий изолировать эффект одной технологии.</w:t>
      </w:r>
    </w:p>
    <w:p w14:paraId="0182A269" w14:textId="77777777" w:rsidR="00940A48" w:rsidRDefault="00000000">
      <w:pPr>
        <w:pStyle w:val="21"/>
      </w:pPr>
      <w:r>
        <w:t>Анализ компромисса</w:t>
      </w:r>
    </w:p>
    <w:p w14:paraId="0B9D37F1" w14:textId="77777777" w:rsidR="00940A48" w:rsidRDefault="00000000">
      <w:r>
        <w:t>Полезно увидеть два уровня задачи: изоляцию отказов и стоимость сопровождения. Решение первой проблемы может создать вторую. Если проект учитывает только текущую производительность, но не обновление библиотек, тесты и дежурство, он получает неполную оценку архитектуры. Этот вывод — наша аналитическая рамка для нового проекта.</w:t>
      </w:r>
    </w:p>
    <w:tbl>
      <w:tblPr>
        <w:tblW w:w="0" w:type="auto"/>
        <w:jc w:val="center"/>
        <w:tblLayout w:type="fixed"/>
        <w:tblLook w:val="04A0" w:firstRow="1" w:lastRow="0" w:firstColumn="1" w:lastColumn="0" w:noHBand="0" w:noVBand="1"/>
      </w:tblPr>
      <w:tblGrid>
        <w:gridCol w:w="3402"/>
        <w:gridCol w:w="6123"/>
      </w:tblGrid>
      <w:tr w:rsidR="00940A48" w14:paraId="0B303001" w14:textId="77777777">
        <w:trPr>
          <w:cantSplit/>
          <w:tblHeader/>
          <w:jc w:val="center"/>
        </w:trPr>
        <w:tc>
          <w:tcPr>
            <w:tcW w:w="3402" w:type="dxa"/>
            <w:shd w:val="clear" w:color="auto" w:fill="19354A"/>
            <w:tcMar>
              <w:top w:w="90" w:type="dxa"/>
              <w:left w:w="105" w:type="dxa"/>
              <w:bottom w:w="90" w:type="dxa"/>
              <w:right w:w="105" w:type="dxa"/>
            </w:tcMar>
            <w:vAlign w:val="center"/>
          </w:tcPr>
          <w:p w14:paraId="2977C8F5" w14:textId="77777777" w:rsidR="00940A48" w:rsidRDefault="00000000">
            <w:pPr>
              <w:spacing w:before="20" w:after="40" w:line="257" w:lineRule="auto"/>
            </w:pPr>
            <w:r>
              <w:rPr>
                <w:rFonts w:ascii="Arial" w:eastAsia="Arial" w:hAnsi="Arial" w:cs="Arial"/>
                <w:b/>
                <w:color w:val="FFFFFF"/>
                <w:sz w:val="20"/>
              </w:rPr>
              <w:t>До выбора архитектуры</w:t>
            </w:r>
          </w:p>
        </w:tc>
        <w:tc>
          <w:tcPr>
            <w:tcW w:w="6123" w:type="dxa"/>
            <w:shd w:val="clear" w:color="auto" w:fill="19354A"/>
            <w:tcMar>
              <w:top w:w="90" w:type="dxa"/>
              <w:left w:w="105" w:type="dxa"/>
              <w:bottom w:w="90" w:type="dxa"/>
              <w:right w:w="105" w:type="dxa"/>
            </w:tcMar>
            <w:vAlign w:val="center"/>
          </w:tcPr>
          <w:p w14:paraId="73652B04" w14:textId="77777777" w:rsidR="00940A48" w:rsidRDefault="00000000">
            <w:pPr>
              <w:spacing w:before="20" w:after="40" w:line="257" w:lineRule="auto"/>
            </w:pPr>
            <w:r>
              <w:rPr>
                <w:rFonts w:ascii="Arial" w:eastAsia="Arial" w:hAnsi="Arial" w:cs="Arial"/>
                <w:b/>
                <w:color w:val="FFFFFF"/>
                <w:sz w:val="20"/>
              </w:rPr>
              <w:t>Вопрос для учебной команды</w:t>
            </w:r>
          </w:p>
        </w:tc>
      </w:tr>
      <w:tr w:rsidR="00940A48" w14:paraId="470E9C68" w14:textId="77777777">
        <w:trPr>
          <w:cantSplit/>
          <w:jc w:val="center"/>
        </w:trPr>
        <w:tc>
          <w:tcPr>
            <w:tcW w:w="3402" w:type="dxa"/>
            <w:shd w:val="clear" w:color="auto" w:fill="F0F4F6"/>
            <w:tcMar>
              <w:top w:w="90" w:type="dxa"/>
              <w:left w:w="105" w:type="dxa"/>
              <w:bottom w:w="90" w:type="dxa"/>
              <w:right w:w="105" w:type="dxa"/>
            </w:tcMar>
            <w:vAlign w:val="center"/>
          </w:tcPr>
          <w:p w14:paraId="52AE55AD" w14:textId="77777777" w:rsidR="00940A48" w:rsidRDefault="00000000">
            <w:pPr>
              <w:spacing w:before="20" w:after="40" w:line="257" w:lineRule="auto"/>
            </w:pPr>
            <w:r>
              <w:rPr>
                <w:rFonts w:ascii="Arial" w:eastAsia="Arial" w:hAnsi="Arial" w:cs="Arial"/>
                <w:color w:val="19354A"/>
                <w:sz w:val="20"/>
              </w:rPr>
              <w:t>Отказы внешней системы</w:t>
            </w:r>
          </w:p>
        </w:tc>
        <w:tc>
          <w:tcPr>
            <w:tcW w:w="6123" w:type="dxa"/>
            <w:shd w:val="clear" w:color="auto" w:fill="F0F4F6"/>
            <w:tcMar>
              <w:top w:w="90" w:type="dxa"/>
              <w:left w:w="105" w:type="dxa"/>
              <w:bottom w:w="90" w:type="dxa"/>
              <w:right w:w="105" w:type="dxa"/>
            </w:tcMar>
            <w:vAlign w:val="center"/>
          </w:tcPr>
          <w:p w14:paraId="0519BA59" w14:textId="77777777" w:rsidR="00940A48" w:rsidRDefault="00000000">
            <w:pPr>
              <w:spacing w:before="20" w:after="40" w:line="257" w:lineRule="auto"/>
            </w:pPr>
            <w:r>
              <w:rPr>
                <w:rFonts w:ascii="Arial" w:eastAsia="Arial" w:hAnsi="Arial" w:cs="Arial"/>
                <w:color w:val="19354A"/>
                <w:sz w:val="20"/>
              </w:rPr>
              <w:t>Задержится ли работа всех остальных частей?</w:t>
            </w:r>
          </w:p>
        </w:tc>
      </w:tr>
      <w:tr w:rsidR="00940A48" w14:paraId="5D2F8044" w14:textId="77777777">
        <w:trPr>
          <w:cantSplit/>
          <w:jc w:val="center"/>
        </w:trPr>
        <w:tc>
          <w:tcPr>
            <w:tcW w:w="3402" w:type="dxa"/>
            <w:tcMar>
              <w:top w:w="90" w:type="dxa"/>
              <w:left w:w="105" w:type="dxa"/>
              <w:bottom w:w="90" w:type="dxa"/>
              <w:right w:w="105" w:type="dxa"/>
            </w:tcMar>
            <w:vAlign w:val="center"/>
          </w:tcPr>
          <w:p w14:paraId="169324D7" w14:textId="77777777" w:rsidR="00940A48" w:rsidRDefault="00000000">
            <w:pPr>
              <w:spacing w:before="20" w:after="40" w:line="257" w:lineRule="auto"/>
            </w:pPr>
            <w:r>
              <w:rPr>
                <w:rFonts w:ascii="Arial" w:eastAsia="Arial" w:hAnsi="Arial" w:cs="Arial"/>
                <w:color w:val="19354A"/>
                <w:sz w:val="20"/>
              </w:rPr>
              <w:t>Обновление общей логики</w:t>
            </w:r>
          </w:p>
        </w:tc>
        <w:tc>
          <w:tcPr>
            <w:tcW w:w="6123" w:type="dxa"/>
            <w:tcMar>
              <w:top w:w="90" w:type="dxa"/>
              <w:left w:w="105" w:type="dxa"/>
              <w:bottom w:w="90" w:type="dxa"/>
              <w:right w:w="105" w:type="dxa"/>
            </w:tcMar>
            <w:vAlign w:val="center"/>
          </w:tcPr>
          <w:p w14:paraId="25F90487" w14:textId="77777777" w:rsidR="00940A48" w:rsidRDefault="00000000">
            <w:pPr>
              <w:spacing w:before="20" w:after="40" w:line="257" w:lineRule="auto"/>
            </w:pPr>
            <w:r>
              <w:rPr>
                <w:rFonts w:ascii="Arial" w:eastAsia="Arial" w:hAnsi="Arial" w:cs="Arial"/>
                <w:color w:val="19354A"/>
                <w:sz w:val="20"/>
              </w:rPr>
              <w:t>Сколько независимых мест нужно изменить?</w:t>
            </w:r>
          </w:p>
        </w:tc>
      </w:tr>
      <w:tr w:rsidR="00940A48" w14:paraId="3A0970B3" w14:textId="77777777">
        <w:trPr>
          <w:cantSplit/>
          <w:jc w:val="center"/>
        </w:trPr>
        <w:tc>
          <w:tcPr>
            <w:tcW w:w="3402" w:type="dxa"/>
            <w:shd w:val="clear" w:color="auto" w:fill="F0F4F6"/>
            <w:tcMar>
              <w:top w:w="90" w:type="dxa"/>
              <w:left w:w="105" w:type="dxa"/>
              <w:bottom w:w="90" w:type="dxa"/>
              <w:right w:w="105" w:type="dxa"/>
            </w:tcMar>
            <w:vAlign w:val="center"/>
          </w:tcPr>
          <w:p w14:paraId="025886A6" w14:textId="77777777" w:rsidR="00940A48" w:rsidRDefault="00000000">
            <w:pPr>
              <w:spacing w:before="20" w:after="40" w:line="257" w:lineRule="auto"/>
            </w:pPr>
            <w:r>
              <w:rPr>
                <w:rFonts w:ascii="Arial" w:eastAsia="Arial" w:hAnsi="Arial" w:cs="Arial"/>
                <w:color w:val="19354A"/>
                <w:sz w:val="20"/>
              </w:rPr>
              <w:t>Проверка</w:t>
            </w:r>
          </w:p>
        </w:tc>
        <w:tc>
          <w:tcPr>
            <w:tcW w:w="6123" w:type="dxa"/>
            <w:shd w:val="clear" w:color="auto" w:fill="F0F4F6"/>
            <w:tcMar>
              <w:top w:w="90" w:type="dxa"/>
              <w:left w:w="105" w:type="dxa"/>
              <w:bottom w:w="90" w:type="dxa"/>
              <w:right w:w="105" w:type="dxa"/>
            </w:tcMar>
            <w:vAlign w:val="center"/>
          </w:tcPr>
          <w:p w14:paraId="19324EE5" w14:textId="77777777" w:rsidR="00940A48" w:rsidRDefault="00000000">
            <w:pPr>
              <w:spacing w:before="20" w:after="40" w:line="257" w:lineRule="auto"/>
            </w:pPr>
            <w:r>
              <w:rPr>
                <w:rFonts w:ascii="Arial" w:eastAsia="Arial" w:hAnsi="Arial" w:cs="Arial"/>
                <w:color w:val="19354A"/>
                <w:sz w:val="20"/>
              </w:rPr>
              <w:t>Можно ли воспроизвести сценарий целиком?</w:t>
            </w:r>
          </w:p>
        </w:tc>
      </w:tr>
      <w:tr w:rsidR="00940A48" w14:paraId="0E37B0FE" w14:textId="77777777">
        <w:trPr>
          <w:cantSplit/>
          <w:jc w:val="center"/>
        </w:trPr>
        <w:tc>
          <w:tcPr>
            <w:tcW w:w="3402" w:type="dxa"/>
            <w:tcMar>
              <w:top w:w="90" w:type="dxa"/>
              <w:left w:w="105" w:type="dxa"/>
              <w:bottom w:w="90" w:type="dxa"/>
              <w:right w:w="105" w:type="dxa"/>
            </w:tcMar>
            <w:vAlign w:val="center"/>
          </w:tcPr>
          <w:p w14:paraId="173554C7" w14:textId="77777777" w:rsidR="00940A48" w:rsidRDefault="00000000">
            <w:pPr>
              <w:spacing w:before="20" w:after="40" w:line="257" w:lineRule="auto"/>
            </w:pPr>
            <w:r>
              <w:rPr>
                <w:rFonts w:ascii="Arial" w:eastAsia="Arial" w:hAnsi="Arial" w:cs="Arial"/>
                <w:color w:val="19354A"/>
                <w:sz w:val="20"/>
              </w:rPr>
              <w:t>Эксплуатация</w:t>
            </w:r>
          </w:p>
        </w:tc>
        <w:tc>
          <w:tcPr>
            <w:tcW w:w="6123" w:type="dxa"/>
            <w:tcMar>
              <w:top w:w="90" w:type="dxa"/>
              <w:left w:w="105" w:type="dxa"/>
              <w:bottom w:w="90" w:type="dxa"/>
              <w:right w:w="105" w:type="dxa"/>
            </w:tcMar>
            <w:vAlign w:val="center"/>
          </w:tcPr>
          <w:p w14:paraId="74021049" w14:textId="77777777" w:rsidR="00940A48" w:rsidRDefault="00000000">
            <w:pPr>
              <w:spacing w:before="20" w:after="40" w:line="257" w:lineRule="auto"/>
            </w:pPr>
            <w:r>
              <w:rPr>
                <w:rFonts w:ascii="Arial" w:eastAsia="Arial" w:hAnsi="Arial" w:cs="Arial"/>
                <w:color w:val="19354A"/>
                <w:sz w:val="20"/>
              </w:rPr>
              <w:t>Кто разберется в проблеме вне разработки?</w:t>
            </w:r>
          </w:p>
        </w:tc>
      </w:tr>
      <w:tr w:rsidR="00940A48" w14:paraId="69FC2685" w14:textId="77777777">
        <w:trPr>
          <w:cantSplit/>
          <w:jc w:val="center"/>
        </w:trPr>
        <w:tc>
          <w:tcPr>
            <w:tcW w:w="3402" w:type="dxa"/>
            <w:shd w:val="clear" w:color="auto" w:fill="F0F4F6"/>
            <w:tcMar>
              <w:top w:w="90" w:type="dxa"/>
              <w:left w:w="105" w:type="dxa"/>
              <w:bottom w:w="90" w:type="dxa"/>
              <w:right w:w="105" w:type="dxa"/>
            </w:tcMar>
            <w:vAlign w:val="center"/>
          </w:tcPr>
          <w:p w14:paraId="098DA61E" w14:textId="77777777" w:rsidR="00940A48" w:rsidRDefault="00000000">
            <w:pPr>
              <w:spacing w:before="20" w:after="40" w:line="257" w:lineRule="auto"/>
            </w:pPr>
            <w:r>
              <w:rPr>
                <w:rFonts w:ascii="Arial" w:eastAsia="Arial" w:hAnsi="Arial" w:cs="Arial"/>
                <w:color w:val="19354A"/>
                <w:sz w:val="20"/>
              </w:rPr>
              <w:t>Пересмотр</w:t>
            </w:r>
          </w:p>
        </w:tc>
        <w:tc>
          <w:tcPr>
            <w:tcW w:w="6123" w:type="dxa"/>
            <w:shd w:val="clear" w:color="auto" w:fill="F0F4F6"/>
            <w:tcMar>
              <w:top w:w="90" w:type="dxa"/>
              <w:left w:w="105" w:type="dxa"/>
              <w:bottom w:w="90" w:type="dxa"/>
              <w:right w:w="105" w:type="dxa"/>
            </w:tcMar>
            <w:vAlign w:val="center"/>
          </w:tcPr>
          <w:p w14:paraId="1A2A75F6" w14:textId="77777777" w:rsidR="00940A48" w:rsidRDefault="00000000">
            <w:pPr>
              <w:spacing w:before="20" w:after="40" w:line="257" w:lineRule="auto"/>
            </w:pPr>
            <w:r>
              <w:rPr>
                <w:rFonts w:ascii="Arial" w:eastAsia="Arial" w:hAnsi="Arial" w:cs="Arial"/>
                <w:color w:val="19354A"/>
                <w:sz w:val="20"/>
              </w:rPr>
              <w:t>Есть ли безопасный путь к другой конфигурации?</w:t>
            </w:r>
          </w:p>
        </w:tc>
      </w:tr>
    </w:tbl>
    <w:p w14:paraId="095EB973" w14:textId="77777777" w:rsidR="00940A48" w:rsidRDefault="00940A48">
      <w:pPr>
        <w:spacing w:after="20" w:line="36" w:lineRule="auto"/>
      </w:pPr>
    </w:p>
    <w:p w14:paraId="11FD314B" w14:textId="77777777" w:rsidR="00940A48" w:rsidRDefault="00000000">
      <w:r>
        <w:t>Для «Кампус Ресурса» разумно сначала описать необходимые границы и отказы. Только затем выбирается способ реализации. Копировать число сервисов или чужой путь объединения без анализа собственных условий столь же необоснованно, как выбирать технологию по популярности названия.</w:t>
      </w:r>
    </w:p>
    <w:p w14:paraId="3958CCC8" w14:textId="77777777" w:rsidR="00940A48" w:rsidRDefault="00000000">
      <w:r>
        <w:br w:type="page"/>
      </w:r>
    </w:p>
    <w:p w14:paraId="1EB4F9E3" w14:textId="77777777" w:rsidR="00940A48" w:rsidRDefault="00000000">
      <w:pPr>
        <w:pStyle w:val="1"/>
      </w:pPr>
      <w:r>
        <w:lastRenderedPageBreak/>
        <w:t>4. Интеграции и контракт данных</w:t>
      </w:r>
    </w:p>
    <w:p w14:paraId="1FE33C27" w14:textId="77777777" w:rsidR="00940A48" w:rsidRDefault="00000000">
      <w:r>
        <w:t>API — интерфейс взаимодействия программных частей. Для руководителя важен контракт: какие данные передаются, что считается успешным ответом, как выглядят ошибки, сколько можно ждать и кто поддерживает изменение версии. Успех одного тестового запроса не доказывает готовность полного процесса.</w:t>
      </w:r>
    </w:p>
    <w:tbl>
      <w:tblPr>
        <w:tblW w:w="0" w:type="auto"/>
        <w:jc w:val="center"/>
        <w:tblLayout w:type="fixed"/>
        <w:tblLook w:val="04A0" w:firstRow="1" w:lastRow="0" w:firstColumn="1" w:lastColumn="0" w:noHBand="0" w:noVBand="1"/>
      </w:tblPr>
      <w:tblGrid>
        <w:gridCol w:w="2438"/>
        <w:gridCol w:w="3402"/>
        <w:gridCol w:w="3685"/>
      </w:tblGrid>
      <w:tr w:rsidR="00940A48" w14:paraId="000BBE5D" w14:textId="77777777">
        <w:trPr>
          <w:cantSplit/>
          <w:tblHeader/>
          <w:jc w:val="center"/>
        </w:trPr>
        <w:tc>
          <w:tcPr>
            <w:tcW w:w="2438" w:type="dxa"/>
            <w:shd w:val="clear" w:color="auto" w:fill="19354A"/>
            <w:tcMar>
              <w:top w:w="90" w:type="dxa"/>
              <w:left w:w="105" w:type="dxa"/>
              <w:bottom w:w="90" w:type="dxa"/>
              <w:right w:w="105" w:type="dxa"/>
            </w:tcMar>
            <w:vAlign w:val="center"/>
          </w:tcPr>
          <w:p w14:paraId="6B8770F8" w14:textId="77777777" w:rsidR="00940A48" w:rsidRDefault="00000000">
            <w:pPr>
              <w:spacing w:before="20" w:after="40" w:line="257" w:lineRule="auto"/>
            </w:pPr>
            <w:r>
              <w:rPr>
                <w:rFonts w:ascii="Arial" w:eastAsia="Arial" w:hAnsi="Arial" w:cs="Arial"/>
                <w:b/>
                <w:color w:val="FFFFFF"/>
                <w:sz w:val="20"/>
              </w:rPr>
              <w:t>Поле учебного события</w:t>
            </w:r>
          </w:p>
        </w:tc>
        <w:tc>
          <w:tcPr>
            <w:tcW w:w="3402" w:type="dxa"/>
            <w:shd w:val="clear" w:color="auto" w:fill="19354A"/>
            <w:tcMar>
              <w:top w:w="90" w:type="dxa"/>
              <w:left w:w="105" w:type="dxa"/>
              <w:bottom w:w="90" w:type="dxa"/>
              <w:right w:w="105" w:type="dxa"/>
            </w:tcMar>
            <w:vAlign w:val="center"/>
          </w:tcPr>
          <w:p w14:paraId="4605BAE7" w14:textId="77777777" w:rsidR="00940A48" w:rsidRDefault="00000000">
            <w:pPr>
              <w:spacing w:before="20" w:after="40" w:line="257" w:lineRule="auto"/>
            </w:pPr>
            <w:r>
              <w:rPr>
                <w:rFonts w:ascii="Arial" w:eastAsia="Arial" w:hAnsi="Arial" w:cs="Arial"/>
                <w:b/>
                <w:color w:val="FFFFFF"/>
                <w:sz w:val="20"/>
              </w:rPr>
              <w:t>Назначение</w:t>
            </w:r>
          </w:p>
        </w:tc>
        <w:tc>
          <w:tcPr>
            <w:tcW w:w="3685" w:type="dxa"/>
            <w:shd w:val="clear" w:color="auto" w:fill="19354A"/>
            <w:tcMar>
              <w:top w:w="90" w:type="dxa"/>
              <w:left w:w="105" w:type="dxa"/>
              <w:bottom w:w="90" w:type="dxa"/>
              <w:right w:w="105" w:type="dxa"/>
            </w:tcMar>
            <w:vAlign w:val="center"/>
          </w:tcPr>
          <w:p w14:paraId="64DFFD78" w14:textId="77777777" w:rsidR="00940A48" w:rsidRDefault="00000000">
            <w:pPr>
              <w:spacing w:before="20" w:after="40" w:line="257" w:lineRule="auto"/>
            </w:pPr>
            <w:r>
              <w:rPr>
                <w:rFonts w:ascii="Arial" w:eastAsia="Arial" w:hAnsi="Arial" w:cs="Arial"/>
                <w:b/>
                <w:color w:val="FFFFFF"/>
                <w:sz w:val="20"/>
              </w:rPr>
              <w:t>Проверка</w:t>
            </w:r>
          </w:p>
        </w:tc>
      </w:tr>
      <w:tr w:rsidR="00940A48" w14:paraId="4C53C16A" w14:textId="77777777">
        <w:trPr>
          <w:cantSplit/>
          <w:jc w:val="center"/>
        </w:trPr>
        <w:tc>
          <w:tcPr>
            <w:tcW w:w="2438" w:type="dxa"/>
            <w:shd w:val="clear" w:color="auto" w:fill="F0F4F6"/>
            <w:tcMar>
              <w:top w:w="90" w:type="dxa"/>
              <w:left w:w="105" w:type="dxa"/>
              <w:bottom w:w="90" w:type="dxa"/>
              <w:right w:w="105" w:type="dxa"/>
            </w:tcMar>
            <w:vAlign w:val="center"/>
          </w:tcPr>
          <w:p w14:paraId="5D929A20" w14:textId="77777777" w:rsidR="00940A48" w:rsidRDefault="00000000">
            <w:pPr>
              <w:spacing w:before="20" w:after="40" w:line="257" w:lineRule="auto"/>
            </w:pPr>
            <w:r>
              <w:rPr>
                <w:rFonts w:ascii="Arial" w:eastAsia="Arial" w:hAnsi="Arial" w:cs="Arial"/>
                <w:color w:val="19354A"/>
                <w:sz w:val="20"/>
              </w:rPr>
              <w:t>reservation_id</w:t>
            </w:r>
          </w:p>
        </w:tc>
        <w:tc>
          <w:tcPr>
            <w:tcW w:w="3402" w:type="dxa"/>
            <w:shd w:val="clear" w:color="auto" w:fill="F0F4F6"/>
            <w:tcMar>
              <w:top w:w="90" w:type="dxa"/>
              <w:left w:w="105" w:type="dxa"/>
              <w:bottom w:w="90" w:type="dxa"/>
              <w:right w:w="105" w:type="dxa"/>
            </w:tcMar>
            <w:vAlign w:val="center"/>
          </w:tcPr>
          <w:p w14:paraId="5C2F9B23" w14:textId="77777777" w:rsidR="00940A48" w:rsidRDefault="00000000">
            <w:pPr>
              <w:spacing w:before="20" w:after="40" w:line="257" w:lineRule="auto"/>
            </w:pPr>
            <w:r>
              <w:rPr>
                <w:rFonts w:ascii="Arial" w:eastAsia="Arial" w:hAnsi="Arial" w:cs="Arial"/>
                <w:color w:val="19354A"/>
                <w:sz w:val="20"/>
              </w:rPr>
              <w:t>Уникальный идентификатор бронирования</w:t>
            </w:r>
          </w:p>
        </w:tc>
        <w:tc>
          <w:tcPr>
            <w:tcW w:w="3685" w:type="dxa"/>
            <w:shd w:val="clear" w:color="auto" w:fill="F0F4F6"/>
            <w:tcMar>
              <w:top w:w="90" w:type="dxa"/>
              <w:left w:w="105" w:type="dxa"/>
              <w:bottom w:w="90" w:type="dxa"/>
              <w:right w:w="105" w:type="dxa"/>
            </w:tcMar>
            <w:vAlign w:val="center"/>
          </w:tcPr>
          <w:p w14:paraId="295F6934" w14:textId="77777777" w:rsidR="00940A48" w:rsidRDefault="00000000">
            <w:pPr>
              <w:spacing w:before="20" w:after="40" w:line="257" w:lineRule="auto"/>
            </w:pPr>
            <w:r>
              <w:rPr>
                <w:rFonts w:ascii="Arial" w:eastAsia="Arial" w:hAnsi="Arial" w:cs="Arial"/>
                <w:color w:val="19354A"/>
                <w:sz w:val="20"/>
              </w:rPr>
              <w:t>Повтор не создает вторую бронь</w:t>
            </w:r>
          </w:p>
        </w:tc>
      </w:tr>
      <w:tr w:rsidR="00940A48" w14:paraId="6408DB7B" w14:textId="77777777">
        <w:trPr>
          <w:cantSplit/>
          <w:jc w:val="center"/>
        </w:trPr>
        <w:tc>
          <w:tcPr>
            <w:tcW w:w="2438" w:type="dxa"/>
            <w:tcMar>
              <w:top w:w="90" w:type="dxa"/>
              <w:left w:w="105" w:type="dxa"/>
              <w:bottom w:w="90" w:type="dxa"/>
              <w:right w:w="105" w:type="dxa"/>
            </w:tcMar>
            <w:vAlign w:val="center"/>
          </w:tcPr>
          <w:p w14:paraId="442FCAF6" w14:textId="77777777" w:rsidR="00940A48" w:rsidRDefault="00000000">
            <w:pPr>
              <w:spacing w:before="20" w:after="40" w:line="257" w:lineRule="auto"/>
            </w:pPr>
            <w:r>
              <w:rPr>
                <w:rFonts w:ascii="Arial" w:eastAsia="Arial" w:hAnsi="Arial" w:cs="Arial"/>
                <w:color w:val="19354A"/>
                <w:sz w:val="20"/>
              </w:rPr>
              <w:t>resource_id</w:t>
            </w:r>
          </w:p>
        </w:tc>
        <w:tc>
          <w:tcPr>
            <w:tcW w:w="3402" w:type="dxa"/>
            <w:tcMar>
              <w:top w:w="90" w:type="dxa"/>
              <w:left w:w="105" w:type="dxa"/>
              <w:bottom w:w="90" w:type="dxa"/>
              <w:right w:w="105" w:type="dxa"/>
            </w:tcMar>
            <w:vAlign w:val="center"/>
          </w:tcPr>
          <w:p w14:paraId="788A15D5" w14:textId="77777777" w:rsidR="00940A48" w:rsidRDefault="00000000">
            <w:pPr>
              <w:spacing w:before="20" w:after="40" w:line="257" w:lineRule="auto"/>
            </w:pPr>
            <w:r>
              <w:rPr>
                <w:rFonts w:ascii="Arial" w:eastAsia="Arial" w:hAnsi="Arial" w:cs="Arial"/>
                <w:color w:val="19354A"/>
                <w:sz w:val="20"/>
              </w:rPr>
              <w:t>Идентификатор прибора</w:t>
            </w:r>
          </w:p>
        </w:tc>
        <w:tc>
          <w:tcPr>
            <w:tcW w:w="3685" w:type="dxa"/>
            <w:tcMar>
              <w:top w:w="90" w:type="dxa"/>
              <w:left w:w="105" w:type="dxa"/>
              <w:bottom w:w="90" w:type="dxa"/>
              <w:right w:w="105" w:type="dxa"/>
            </w:tcMar>
            <w:vAlign w:val="center"/>
          </w:tcPr>
          <w:p w14:paraId="64747DBE" w14:textId="77777777" w:rsidR="00940A48" w:rsidRDefault="00000000">
            <w:pPr>
              <w:spacing w:before="20" w:after="40" w:line="257" w:lineRule="auto"/>
            </w:pPr>
            <w:r>
              <w:rPr>
                <w:rFonts w:ascii="Arial" w:eastAsia="Arial" w:hAnsi="Arial" w:cs="Arial"/>
                <w:color w:val="19354A"/>
                <w:sz w:val="20"/>
              </w:rPr>
              <w:t>Ресурс существует и доступен</w:t>
            </w:r>
          </w:p>
        </w:tc>
      </w:tr>
      <w:tr w:rsidR="00940A48" w14:paraId="5E4E9ED7" w14:textId="77777777">
        <w:trPr>
          <w:cantSplit/>
          <w:jc w:val="center"/>
        </w:trPr>
        <w:tc>
          <w:tcPr>
            <w:tcW w:w="2438" w:type="dxa"/>
            <w:shd w:val="clear" w:color="auto" w:fill="F0F4F6"/>
            <w:tcMar>
              <w:top w:w="90" w:type="dxa"/>
              <w:left w:w="105" w:type="dxa"/>
              <w:bottom w:w="90" w:type="dxa"/>
              <w:right w:w="105" w:type="dxa"/>
            </w:tcMar>
            <w:vAlign w:val="center"/>
          </w:tcPr>
          <w:p w14:paraId="42D8E862" w14:textId="77777777" w:rsidR="00940A48" w:rsidRDefault="00000000">
            <w:pPr>
              <w:spacing w:before="20" w:after="40" w:line="257" w:lineRule="auto"/>
            </w:pPr>
            <w:r>
              <w:rPr>
                <w:rFonts w:ascii="Arial" w:eastAsia="Arial" w:hAnsi="Arial" w:cs="Arial"/>
                <w:color w:val="19354A"/>
                <w:sz w:val="20"/>
              </w:rPr>
              <w:t>status</w:t>
            </w:r>
          </w:p>
        </w:tc>
        <w:tc>
          <w:tcPr>
            <w:tcW w:w="3402" w:type="dxa"/>
            <w:shd w:val="clear" w:color="auto" w:fill="F0F4F6"/>
            <w:tcMar>
              <w:top w:w="90" w:type="dxa"/>
              <w:left w:w="105" w:type="dxa"/>
              <w:bottom w:w="90" w:type="dxa"/>
              <w:right w:w="105" w:type="dxa"/>
            </w:tcMar>
            <w:vAlign w:val="center"/>
          </w:tcPr>
          <w:p w14:paraId="1657C442" w14:textId="77777777" w:rsidR="00940A48" w:rsidRDefault="00000000">
            <w:pPr>
              <w:spacing w:before="20" w:after="40" w:line="257" w:lineRule="auto"/>
            </w:pPr>
            <w:r>
              <w:rPr>
                <w:rFonts w:ascii="Arial" w:eastAsia="Arial" w:hAnsi="Arial" w:cs="Arial"/>
                <w:color w:val="19354A"/>
                <w:sz w:val="20"/>
              </w:rPr>
              <w:t>Согласованное состояние</w:t>
            </w:r>
          </w:p>
        </w:tc>
        <w:tc>
          <w:tcPr>
            <w:tcW w:w="3685" w:type="dxa"/>
            <w:shd w:val="clear" w:color="auto" w:fill="F0F4F6"/>
            <w:tcMar>
              <w:top w:w="90" w:type="dxa"/>
              <w:left w:w="105" w:type="dxa"/>
              <w:bottom w:w="90" w:type="dxa"/>
              <w:right w:w="105" w:type="dxa"/>
            </w:tcMar>
            <w:vAlign w:val="center"/>
          </w:tcPr>
          <w:p w14:paraId="4010C47C" w14:textId="77777777" w:rsidR="00940A48" w:rsidRDefault="00000000">
            <w:pPr>
              <w:spacing w:before="20" w:after="40" w:line="257" w:lineRule="auto"/>
            </w:pPr>
            <w:r>
              <w:rPr>
                <w:rFonts w:ascii="Arial" w:eastAsia="Arial" w:hAnsi="Arial" w:cs="Arial"/>
                <w:color w:val="19354A"/>
                <w:sz w:val="20"/>
              </w:rPr>
              <w:t>Используются допустимые значения</w:t>
            </w:r>
          </w:p>
        </w:tc>
      </w:tr>
      <w:tr w:rsidR="00940A48" w14:paraId="72033118" w14:textId="77777777">
        <w:trPr>
          <w:cantSplit/>
          <w:jc w:val="center"/>
        </w:trPr>
        <w:tc>
          <w:tcPr>
            <w:tcW w:w="2438" w:type="dxa"/>
            <w:tcMar>
              <w:top w:w="90" w:type="dxa"/>
              <w:left w:w="105" w:type="dxa"/>
              <w:bottom w:w="90" w:type="dxa"/>
              <w:right w:w="105" w:type="dxa"/>
            </w:tcMar>
            <w:vAlign w:val="center"/>
          </w:tcPr>
          <w:p w14:paraId="09307720" w14:textId="77777777" w:rsidR="00940A48" w:rsidRDefault="00000000">
            <w:pPr>
              <w:spacing w:before="20" w:after="40" w:line="257" w:lineRule="auto"/>
            </w:pPr>
            <w:r>
              <w:rPr>
                <w:rFonts w:ascii="Arial" w:eastAsia="Arial" w:hAnsi="Arial" w:cs="Arial"/>
                <w:color w:val="19354A"/>
                <w:sz w:val="20"/>
              </w:rPr>
              <w:t>occurred_at</w:t>
            </w:r>
          </w:p>
        </w:tc>
        <w:tc>
          <w:tcPr>
            <w:tcW w:w="3402" w:type="dxa"/>
            <w:tcMar>
              <w:top w:w="90" w:type="dxa"/>
              <w:left w:w="105" w:type="dxa"/>
              <w:bottom w:w="90" w:type="dxa"/>
              <w:right w:w="105" w:type="dxa"/>
            </w:tcMar>
            <w:vAlign w:val="center"/>
          </w:tcPr>
          <w:p w14:paraId="2356B203" w14:textId="77777777" w:rsidR="00940A48" w:rsidRDefault="00000000">
            <w:pPr>
              <w:spacing w:before="20" w:after="40" w:line="257" w:lineRule="auto"/>
            </w:pPr>
            <w:r>
              <w:rPr>
                <w:rFonts w:ascii="Arial" w:eastAsia="Arial" w:hAnsi="Arial" w:cs="Arial"/>
                <w:color w:val="19354A"/>
                <w:sz w:val="20"/>
              </w:rPr>
              <w:t>Время события</w:t>
            </w:r>
          </w:p>
        </w:tc>
        <w:tc>
          <w:tcPr>
            <w:tcW w:w="3685" w:type="dxa"/>
            <w:tcMar>
              <w:top w:w="90" w:type="dxa"/>
              <w:left w:w="105" w:type="dxa"/>
              <w:bottom w:w="90" w:type="dxa"/>
              <w:right w:w="105" w:type="dxa"/>
            </w:tcMar>
            <w:vAlign w:val="center"/>
          </w:tcPr>
          <w:p w14:paraId="4FF7D715" w14:textId="77777777" w:rsidR="00940A48" w:rsidRDefault="00000000">
            <w:pPr>
              <w:spacing w:before="20" w:after="40" w:line="257" w:lineRule="auto"/>
            </w:pPr>
            <w:r>
              <w:rPr>
                <w:rFonts w:ascii="Arial" w:eastAsia="Arial" w:hAnsi="Arial" w:cs="Arial"/>
                <w:color w:val="19354A"/>
                <w:sz w:val="20"/>
              </w:rPr>
              <w:t>Понятны часовой пояс и порядок</w:t>
            </w:r>
          </w:p>
        </w:tc>
      </w:tr>
      <w:tr w:rsidR="00940A48" w14:paraId="114423FA" w14:textId="77777777">
        <w:trPr>
          <w:cantSplit/>
          <w:jc w:val="center"/>
        </w:trPr>
        <w:tc>
          <w:tcPr>
            <w:tcW w:w="2438" w:type="dxa"/>
            <w:shd w:val="clear" w:color="auto" w:fill="F0F4F6"/>
            <w:tcMar>
              <w:top w:w="90" w:type="dxa"/>
              <w:left w:w="105" w:type="dxa"/>
              <w:bottom w:w="90" w:type="dxa"/>
              <w:right w:w="105" w:type="dxa"/>
            </w:tcMar>
            <w:vAlign w:val="center"/>
          </w:tcPr>
          <w:p w14:paraId="7F7F5835" w14:textId="77777777" w:rsidR="00940A48" w:rsidRDefault="00000000">
            <w:pPr>
              <w:spacing w:before="20" w:after="40" w:line="257" w:lineRule="auto"/>
            </w:pPr>
            <w:r>
              <w:rPr>
                <w:rFonts w:ascii="Arial" w:eastAsia="Arial" w:hAnsi="Arial" w:cs="Arial"/>
                <w:color w:val="19354A"/>
                <w:sz w:val="20"/>
              </w:rPr>
              <w:t>version</w:t>
            </w:r>
          </w:p>
        </w:tc>
        <w:tc>
          <w:tcPr>
            <w:tcW w:w="3402" w:type="dxa"/>
            <w:shd w:val="clear" w:color="auto" w:fill="F0F4F6"/>
            <w:tcMar>
              <w:top w:w="90" w:type="dxa"/>
              <w:left w:w="105" w:type="dxa"/>
              <w:bottom w:w="90" w:type="dxa"/>
              <w:right w:w="105" w:type="dxa"/>
            </w:tcMar>
            <w:vAlign w:val="center"/>
          </w:tcPr>
          <w:p w14:paraId="5367D812" w14:textId="77777777" w:rsidR="00940A48" w:rsidRDefault="00000000">
            <w:pPr>
              <w:spacing w:before="20" w:after="40" w:line="257" w:lineRule="auto"/>
            </w:pPr>
            <w:r>
              <w:rPr>
                <w:rFonts w:ascii="Arial" w:eastAsia="Arial" w:hAnsi="Arial" w:cs="Arial"/>
                <w:color w:val="19354A"/>
                <w:sz w:val="20"/>
              </w:rPr>
              <w:t>Версия структуры</w:t>
            </w:r>
          </w:p>
        </w:tc>
        <w:tc>
          <w:tcPr>
            <w:tcW w:w="3685" w:type="dxa"/>
            <w:shd w:val="clear" w:color="auto" w:fill="F0F4F6"/>
            <w:tcMar>
              <w:top w:w="90" w:type="dxa"/>
              <w:left w:w="105" w:type="dxa"/>
              <w:bottom w:w="90" w:type="dxa"/>
              <w:right w:w="105" w:type="dxa"/>
            </w:tcMar>
            <w:vAlign w:val="center"/>
          </w:tcPr>
          <w:p w14:paraId="51D91D41" w14:textId="77777777" w:rsidR="00940A48" w:rsidRDefault="00000000">
            <w:pPr>
              <w:spacing w:before="20" w:after="40" w:line="257" w:lineRule="auto"/>
            </w:pPr>
            <w:r>
              <w:rPr>
                <w:rFonts w:ascii="Arial" w:eastAsia="Arial" w:hAnsi="Arial" w:cs="Arial"/>
                <w:color w:val="19354A"/>
                <w:sz w:val="20"/>
              </w:rPr>
              <w:t>Изменение не ломает получателя</w:t>
            </w:r>
          </w:p>
        </w:tc>
      </w:tr>
    </w:tbl>
    <w:p w14:paraId="7E24EDBB" w14:textId="77777777" w:rsidR="00940A48" w:rsidRDefault="00940A48">
      <w:pPr>
        <w:spacing w:after="20" w:line="36" w:lineRule="auto"/>
      </w:pPr>
    </w:p>
    <w:p w14:paraId="69C11CD0" w14:textId="77777777" w:rsidR="00940A48" w:rsidRDefault="00000000">
      <w:pPr>
        <w:pStyle w:val="21"/>
      </w:pPr>
      <w:r>
        <w:t>Повторы и частичный успех</w:t>
      </w:r>
    </w:p>
    <w:p w14:paraId="307B3766" w14:textId="77777777" w:rsidR="00940A48" w:rsidRDefault="00000000">
      <w:r>
        <w:t>Условная ситуация: бронь сохранена, но ответ не дошел до пользователя. При повторном нажатии не должна появляться вторая независимая запись. Идемпотентная обработка означает, что повтор соответствующего запроса не вызывает повторного эффекта. Конкретный механизм выбирает разработчик; управленческое требование — явно проверить этот сценарий.</w:t>
      </w:r>
    </w:p>
    <w:p w14:paraId="020903BF" w14:textId="77777777" w:rsidR="00940A48" w:rsidRDefault="00000000">
      <w:r>
        <w:t>Другой пример: бронь подтверждена, а письмо не отправилось. Нужно отличать состояние операции от состояния уведомления. Система может повторить доставку сообщения, не повторяя само бронирование. Пользователю нужен способ узнать действительное состояние, а поддержке — увидеть ошибку доставки.</w:t>
      </w:r>
    </w:p>
    <w:p w14:paraId="2EE17900" w14:textId="77777777" w:rsidR="00940A48" w:rsidRDefault="00000000">
      <w:r>
        <w:t>Нельзя бесконечно повторять любой неуспешный запрос. Временная недоступность и недопустимые данные требуют разных решений. В проектном плане фиксируют категории ошибок, пределы ожидания и ручной маршрут. Учебное задание описывает контракт и тесты, не требует подключения к реальным системам.</w:t>
      </w:r>
    </w:p>
    <w:p w14:paraId="1AEBBAD7" w14:textId="77777777" w:rsidR="00940A48" w:rsidRDefault="00000000">
      <w:r>
        <w:br w:type="page"/>
      </w:r>
    </w:p>
    <w:p w14:paraId="606B794F" w14:textId="77777777" w:rsidR="00940A48" w:rsidRDefault="00000000">
      <w:pPr>
        <w:pStyle w:val="1"/>
      </w:pPr>
      <w:r>
        <w:lastRenderedPageBreak/>
        <w:t>5. ADR: короткая запись архитектурного решения</w:t>
      </w:r>
    </w:p>
    <w:p w14:paraId="1619B62D" w14:textId="77777777" w:rsidR="00940A48" w:rsidRDefault="00000000">
      <w:r>
        <w:t>Michael Nygard предложил документировать значимые архитектурные решения короткими записями с контекстом, выбором, статусом и последствиями [2]. Такая запись позволяет понять, почему решение было разумным в момент принятия, даже если позднее его заменили. Она не должна становиться рекламой выбранной технологии.</w:t>
      </w:r>
    </w:p>
    <w:tbl>
      <w:tblPr>
        <w:tblW w:w="0" w:type="auto"/>
        <w:jc w:val="center"/>
        <w:tblLayout w:type="fixed"/>
        <w:tblLook w:val="04A0" w:firstRow="1" w:lastRow="0" w:firstColumn="1" w:lastColumn="0" w:noHBand="0" w:noVBand="1"/>
      </w:tblPr>
      <w:tblGrid>
        <w:gridCol w:w="2551"/>
        <w:gridCol w:w="6973"/>
      </w:tblGrid>
      <w:tr w:rsidR="00940A48" w14:paraId="12ECD463" w14:textId="77777777">
        <w:trPr>
          <w:cantSplit/>
          <w:tblHeader/>
          <w:jc w:val="center"/>
        </w:trPr>
        <w:tc>
          <w:tcPr>
            <w:tcW w:w="2551" w:type="dxa"/>
            <w:shd w:val="clear" w:color="auto" w:fill="19354A"/>
            <w:tcMar>
              <w:top w:w="90" w:type="dxa"/>
              <w:left w:w="105" w:type="dxa"/>
              <w:bottom w:w="90" w:type="dxa"/>
              <w:right w:w="105" w:type="dxa"/>
            </w:tcMar>
            <w:vAlign w:val="center"/>
          </w:tcPr>
          <w:p w14:paraId="736E9417" w14:textId="77777777" w:rsidR="00940A48" w:rsidRDefault="00000000">
            <w:pPr>
              <w:spacing w:before="20" w:after="40" w:line="257" w:lineRule="auto"/>
            </w:pPr>
            <w:r>
              <w:rPr>
                <w:rFonts w:ascii="Arial" w:eastAsia="Arial" w:hAnsi="Arial" w:cs="Arial"/>
                <w:b/>
                <w:color w:val="FFFFFF"/>
                <w:sz w:val="20"/>
              </w:rPr>
              <w:t>Поле ADR</w:t>
            </w:r>
          </w:p>
        </w:tc>
        <w:tc>
          <w:tcPr>
            <w:tcW w:w="6973" w:type="dxa"/>
            <w:shd w:val="clear" w:color="auto" w:fill="19354A"/>
            <w:tcMar>
              <w:top w:w="90" w:type="dxa"/>
              <w:left w:w="105" w:type="dxa"/>
              <w:bottom w:w="90" w:type="dxa"/>
              <w:right w:w="105" w:type="dxa"/>
            </w:tcMar>
            <w:vAlign w:val="center"/>
          </w:tcPr>
          <w:p w14:paraId="74343BF3" w14:textId="77777777" w:rsidR="00940A48" w:rsidRDefault="00000000">
            <w:pPr>
              <w:spacing w:before="20" w:after="40" w:line="257" w:lineRule="auto"/>
            </w:pPr>
            <w:r>
              <w:rPr>
                <w:rFonts w:ascii="Arial" w:eastAsia="Arial" w:hAnsi="Arial" w:cs="Arial"/>
                <w:b/>
                <w:color w:val="FFFFFF"/>
                <w:sz w:val="20"/>
              </w:rPr>
              <w:t>Условное заполнение</w:t>
            </w:r>
          </w:p>
        </w:tc>
      </w:tr>
      <w:tr w:rsidR="00940A48" w14:paraId="5117AF1B" w14:textId="77777777">
        <w:trPr>
          <w:cantSplit/>
          <w:jc w:val="center"/>
        </w:trPr>
        <w:tc>
          <w:tcPr>
            <w:tcW w:w="2551" w:type="dxa"/>
            <w:shd w:val="clear" w:color="auto" w:fill="F0F4F6"/>
            <w:tcMar>
              <w:top w:w="90" w:type="dxa"/>
              <w:left w:w="105" w:type="dxa"/>
              <w:bottom w:w="90" w:type="dxa"/>
              <w:right w:w="105" w:type="dxa"/>
            </w:tcMar>
            <w:vAlign w:val="center"/>
          </w:tcPr>
          <w:p w14:paraId="229C9E3A" w14:textId="77777777" w:rsidR="00940A48" w:rsidRDefault="00000000">
            <w:pPr>
              <w:spacing w:before="20" w:after="40" w:line="257" w:lineRule="auto"/>
            </w:pPr>
            <w:r>
              <w:rPr>
                <w:rFonts w:ascii="Arial" w:eastAsia="Arial" w:hAnsi="Arial" w:cs="Arial"/>
                <w:color w:val="19354A"/>
                <w:sz w:val="20"/>
              </w:rPr>
              <w:t>Контекст</w:t>
            </w:r>
          </w:p>
        </w:tc>
        <w:tc>
          <w:tcPr>
            <w:tcW w:w="6973" w:type="dxa"/>
            <w:shd w:val="clear" w:color="auto" w:fill="F0F4F6"/>
            <w:tcMar>
              <w:top w:w="90" w:type="dxa"/>
              <w:left w:w="105" w:type="dxa"/>
              <w:bottom w:w="90" w:type="dxa"/>
              <w:right w:w="105" w:type="dxa"/>
            </w:tcMar>
            <w:vAlign w:val="center"/>
          </w:tcPr>
          <w:p w14:paraId="6D6EDCC0" w14:textId="77777777" w:rsidR="00940A48" w:rsidRDefault="00000000">
            <w:pPr>
              <w:spacing w:before="20" w:after="40" w:line="257" w:lineRule="auto"/>
            </w:pPr>
            <w:r>
              <w:rPr>
                <w:rFonts w:ascii="Arial" w:eastAsia="Arial" w:hAnsi="Arial" w:cs="Arial"/>
                <w:color w:val="19354A"/>
                <w:sz w:val="20"/>
              </w:rPr>
              <w:t>Небольшой пилот; одна команда; умеренная нагрузка</w:t>
            </w:r>
          </w:p>
        </w:tc>
      </w:tr>
      <w:tr w:rsidR="00940A48" w14:paraId="7BB8D78C" w14:textId="77777777">
        <w:trPr>
          <w:cantSplit/>
          <w:jc w:val="center"/>
        </w:trPr>
        <w:tc>
          <w:tcPr>
            <w:tcW w:w="2551" w:type="dxa"/>
            <w:tcMar>
              <w:top w:w="90" w:type="dxa"/>
              <w:left w:w="105" w:type="dxa"/>
              <w:bottom w:w="90" w:type="dxa"/>
              <w:right w:w="105" w:type="dxa"/>
            </w:tcMar>
            <w:vAlign w:val="center"/>
          </w:tcPr>
          <w:p w14:paraId="14A5744E" w14:textId="77777777" w:rsidR="00940A48" w:rsidRDefault="00000000">
            <w:pPr>
              <w:spacing w:before="20" w:after="40" w:line="257" w:lineRule="auto"/>
            </w:pPr>
            <w:r>
              <w:rPr>
                <w:rFonts w:ascii="Arial" w:eastAsia="Arial" w:hAnsi="Arial" w:cs="Arial"/>
                <w:color w:val="19354A"/>
                <w:sz w:val="20"/>
              </w:rPr>
              <w:t>Решение</w:t>
            </w:r>
          </w:p>
        </w:tc>
        <w:tc>
          <w:tcPr>
            <w:tcW w:w="6973" w:type="dxa"/>
            <w:tcMar>
              <w:top w:w="90" w:type="dxa"/>
              <w:left w:w="105" w:type="dxa"/>
              <w:bottom w:w="90" w:type="dxa"/>
              <w:right w:w="105" w:type="dxa"/>
            </w:tcMar>
            <w:vAlign w:val="center"/>
          </w:tcPr>
          <w:p w14:paraId="2A6B917B" w14:textId="77777777" w:rsidR="00940A48" w:rsidRDefault="00000000">
            <w:pPr>
              <w:spacing w:before="20" w:after="40" w:line="257" w:lineRule="auto"/>
            </w:pPr>
            <w:r>
              <w:rPr>
                <w:rFonts w:ascii="Arial" w:eastAsia="Arial" w:hAnsi="Arial" w:cs="Arial"/>
                <w:color w:val="19354A"/>
                <w:sz w:val="20"/>
              </w:rPr>
              <w:t>Единое приложение с разделенными модулями</w:t>
            </w:r>
          </w:p>
        </w:tc>
      </w:tr>
      <w:tr w:rsidR="00940A48" w14:paraId="3ED525ED" w14:textId="77777777">
        <w:trPr>
          <w:cantSplit/>
          <w:jc w:val="center"/>
        </w:trPr>
        <w:tc>
          <w:tcPr>
            <w:tcW w:w="2551" w:type="dxa"/>
            <w:shd w:val="clear" w:color="auto" w:fill="F0F4F6"/>
            <w:tcMar>
              <w:top w:w="90" w:type="dxa"/>
              <w:left w:w="105" w:type="dxa"/>
              <w:bottom w:w="90" w:type="dxa"/>
              <w:right w:w="105" w:type="dxa"/>
            </w:tcMar>
            <w:vAlign w:val="center"/>
          </w:tcPr>
          <w:p w14:paraId="7D321B14" w14:textId="77777777" w:rsidR="00940A48" w:rsidRDefault="00000000">
            <w:pPr>
              <w:spacing w:before="20" w:after="40" w:line="257" w:lineRule="auto"/>
            </w:pPr>
            <w:r>
              <w:rPr>
                <w:rFonts w:ascii="Arial" w:eastAsia="Arial" w:hAnsi="Arial" w:cs="Arial"/>
                <w:color w:val="19354A"/>
                <w:sz w:val="20"/>
              </w:rPr>
              <w:t>Альтернативы</w:t>
            </w:r>
          </w:p>
        </w:tc>
        <w:tc>
          <w:tcPr>
            <w:tcW w:w="6973" w:type="dxa"/>
            <w:shd w:val="clear" w:color="auto" w:fill="F0F4F6"/>
            <w:tcMar>
              <w:top w:w="90" w:type="dxa"/>
              <w:left w:w="105" w:type="dxa"/>
              <w:bottom w:w="90" w:type="dxa"/>
              <w:right w:w="105" w:type="dxa"/>
            </w:tcMar>
            <w:vAlign w:val="center"/>
          </w:tcPr>
          <w:p w14:paraId="0645CCF9" w14:textId="77777777" w:rsidR="00940A48" w:rsidRDefault="00000000">
            <w:pPr>
              <w:spacing w:before="20" w:after="40" w:line="257" w:lineRule="auto"/>
            </w:pPr>
            <w:r>
              <w:rPr>
                <w:rFonts w:ascii="Arial" w:eastAsia="Arial" w:hAnsi="Arial" w:cs="Arial"/>
                <w:color w:val="19354A"/>
                <w:sz w:val="20"/>
              </w:rPr>
              <w:t>Отдельный сервис уведомлений; полностью готовая платформа</w:t>
            </w:r>
          </w:p>
        </w:tc>
      </w:tr>
      <w:tr w:rsidR="00940A48" w14:paraId="1F1FA37E" w14:textId="77777777">
        <w:trPr>
          <w:cantSplit/>
          <w:jc w:val="center"/>
        </w:trPr>
        <w:tc>
          <w:tcPr>
            <w:tcW w:w="2551" w:type="dxa"/>
            <w:tcMar>
              <w:top w:w="90" w:type="dxa"/>
              <w:left w:w="105" w:type="dxa"/>
              <w:bottom w:w="90" w:type="dxa"/>
              <w:right w:w="105" w:type="dxa"/>
            </w:tcMar>
            <w:vAlign w:val="center"/>
          </w:tcPr>
          <w:p w14:paraId="121CDB27" w14:textId="77777777" w:rsidR="00940A48" w:rsidRDefault="00000000">
            <w:pPr>
              <w:spacing w:before="20" w:after="40" w:line="257" w:lineRule="auto"/>
            </w:pPr>
            <w:r>
              <w:rPr>
                <w:rFonts w:ascii="Arial" w:eastAsia="Arial" w:hAnsi="Arial" w:cs="Arial"/>
                <w:color w:val="19354A"/>
                <w:sz w:val="20"/>
              </w:rPr>
              <w:t>Основание</w:t>
            </w:r>
          </w:p>
        </w:tc>
        <w:tc>
          <w:tcPr>
            <w:tcW w:w="6973" w:type="dxa"/>
            <w:tcMar>
              <w:top w:w="90" w:type="dxa"/>
              <w:left w:w="105" w:type="dxa"/>
              <w:bottom w:w="90" w:type="dxa"/>
              <w:right w:w="105" w:type="dxa"/>
            </w:tcMar>
            <w:vAlign w:val="center"/>
          </w:tcPr>
          <w:p w14:paraId="781029C7" w14:textId="77777777" w:rsidR="00940A48" w:rsidRDefault="00000000">
            <w:pPr>
              <w:spacing w:before="20" w:after="40" w:line="257" w:lineRule="auto"/>
            </w:pPr>
            <w:r>
              <w:rPr>
                <w:rFonts w:ascii="Arial" w:eastAsia="Arial" w:hAnsi="Arial" w:cs="Arial"/>
                <w:color w:val="19354A"/>
                <w:sz w:val="20"/>
              </w:rPr>
              <w:t>Проще проверить полный сценарий и поддержать первую версию</w:t>
            </w:r>
          </w:p>
        </w:tc>
      </w:tr>
      <w:tr w:rsidR="00940A48" w14:paraId="7A3C62F0" w14:textId="77777777">
        <w:trPr>
          <w:cantSplit/>
          <w:jc w:val="center"/>
        </w:trPr>
        <w:tc>
          <w:tcPr>
            <w:tcW w:w="2551" w:type="dxa"/>
            <w:shd w:val="clear" w:color="auto" w:fill="F0F4F6"/>
            <w:tcMar>
              <w:top w:w="90" w:type="dxa"/>
              <w:left w:w="105" w:type="dxa"/>
              <w:bottom w:w="90" w:type="dxa"/>
              <w:right w:w="105" w:type="dxa"/>
            </w:tcMar>
            <w:vAlign w:val="center"/>
          </w:tcPr>
          <w:p w14:paraId="1BCFD757" w14:textId="77777777" w:rsidR="00940A48" w:rsidRDefault="00000000">
            <w:pPr>
              <w:spacing w:before="20" w:after="40" w:line="257" w:lineRule="auto"/>
            </w:pPr>
            <w:r>
              <w:rPr>
                <w:rFonts w:ascii="Arial" w:eastAsia="Arial" w:hAnsi="Arial" w:cs="Arial"/>
                <w:color w:val="19354A"/>
                <w:sz w:val="20"/>
              </w:rPr>
              <w:t>Последствия</w:t>
            </w:r>
          </w:p>
        </w:tc>
        <w:tc>
          <w:tcPr>
            <w:tcW w:w="6973" w:type="dxa"/>
            <w:shd w:val="clear" w:color="auto" w:fill="F0F4F6"/>
            <w:tcMar>
              <w:top w:w="90" w:type="dxa"/>
              <w:left w:w="105" w:type="dxa"/>
              <w:bottom w:w="90" w:type="dxa"/>
              <w:right w:w="105" w:type="dxa"/>
            </w:tcMar>
            <w:vAlign w:val="center"/>
          </w:tcPr>
          <w:p w14:paraId="0F84F1C9" w14:textId="77777777" w:rsidR="00940A48" w:rsidRDefault="00000000">
            <w:pPr>
              <w:spacing w:before="20" w:after="40" w:line="257" w:lineRule="auto"/>
            </w:pPr>
            <w:r>
              <w:rPr>
                <w:rFonts w:ascii="Arial" w:eastAsia="Arial" w:hAnsi="Arial" w:cs="Arial"/>
                <w:color w:val="19354A"/>
                <w:sz w:val="20"/>
              </w:rPr>
              <w:t>Общий выпуск; нужно сохранять внутренние границы</w:t>
            </w:r>
          </w:p>
        </w:tc>
      </w:tr>
      <w:tr w:rsidR="00940A48" w14:paraId="2559BA7C" w14:textId="77777777">
        <w:trPr>
          <w:cantSplit/>
          <w:jc w:val="center"/>
        </w:trPr>
        <w:tc>
          <w:tcPr>
            <w:tcW w:w="2551" w:type="dxa"/>
            <w:tcMar>
              <w:top w:w="90" w:type="dxa"/>
              <w:left w:w="105" w:type="dxa"/>
              <w:bottom w:w="90" w:type="dxa"/>
              <w:right w:w="105" w:type="dxa"/>
            </w:tcMar>
            <w:vAlign w:val="center"/>
          </w:tcPr>
          <w:p w14:paraId="79AC96DB" w14:textId="77777777" w:rsidR="00940A48" w:rsidRDefault="00000000">
            <w:pPr>
              <w:spacing w:before="20" w:after="40" w:line="257" w:lineRule="auto"/>
            </w:pPr>
            <w:r>
              <w:rPr>
                <w:rFonts w:ascii="Arial" w:eastAsia="Arial" w:hAnsi="Arial" w:cs="Arial"/>
                <w:color w:val="19354A"/>
                <w:sz w:val="20"/>
              </w:rPr>
              <w:t>Пересмотр</w:t>
            </w:r>
          </w:p>
        </w:tc>
        <w:tc>
          <w:tcPr>
            <w:tcW w:w="6973" w:type="dxa"/>
            <w:tcMar>
              <w:top w:w="90" w:type="dxa"/>
              <w:left w:w="105" w:type="dxa"/>
              <w:bottom w:w="90" w:type="dxa"/>
              <w:right w:w="105" w:type="dxa"/>
            </w:tcMar>
            <w:vAlign w:val="center"/>
          </w:tcPr>
          <w:p w14:paraId="6D24518F" w14:textId="77777777" w:rsidR="00940A48" w:rsidRDefault="00000000">
            <w:pPr>
              <w:spacing w:before="20" w:after="40" w:line="257" w:lineRule="auto"/>
            </w:pPr>
            <w:r>
              <w:rPr>
                <w:rFonts w:ascii="Arial" w:eastAsia="Arial" w:hAnsi="Arial" w:cs="Arial"/>
                <w:color w:val="19354A"/>
                <w:sz w:val="20"/>
              </w:rPr>
              <w:t>Рост независимых изменений или неприемлемая нагрузка</w:t>
            </w:r>
          </w:p>
        </w:tc>
      </w:tr>
    </w:tbl>
    <w:p w14:paraId="7E53F14C" w14:textId="77777777" w:rsidR="00940A48" w:rsidRDefault="00940A48">
      <w:pPr>
        <w:spacing w:after="20" w:line="36" w:lineRule="auto"/>
      </w:pPr>
    </w:p>
    <w:p w14:paraId="755CF109" w14:textId="77777777" w:rsidR="00940A48" w:rsidRDefault="00000000">
      <w:r>
        <w:t>В реестре сохраняют прежнюю запись при смене решения, помечая ее как замененную. Иначе следующая команда увидит только новый выбор и не поймет, какие ограничения существовали раньше. История важна для миграции и анализа технического долга.</w:t>
      </w:r>
    </w:p>
    <w:p w14:paraId="0997CD00" w14:textId="77777777" w:rsidR="00940A48" w:rsidRDefault="00000000">
      <w:pPr>
        <w:pStyle w:val="21"/>
      </w:pPr>
      <w:r>
        <w:t>Проверка архитектуры небольшим экспериментом</w:t>
      </w:r>
    </w:p>
    <w:p w14:paraId="1FA02DAD" w14:textId="77777777" w:rsidR="00940A48" w:rsidRDefault="00000000">
      <w:r>
        <w:t>Для рискованной интеграции можно сделать технический прототип: отправить синтетическое событие в тестовую заглушку, смоделировать повтор, задержку и отказ. Выходом является отчет о наблюдении и ограничениях, а не готовая производственная функция. Положительный результат на малой нагрузке не доказывает масштабируемость.</w:t>
      </w:r>
    </w:p>
    <w:p w14:paraId="5F0513EC" w14:textId="77777777" w:rsidR="00940A48" w:rsidRDefault="00000000">
      <w:r>
        <w:t>Перед реализацией убедитесь, что выбранная архитектура связана с требованиями доступности, восстановления и приемки. Решение без владельца эксплуатации неполно. Руководитель проекта организует эту связь и при необходимости выделяет работу на проверку неизвестного.</w:t>
      </w:r>
    </w:p>
    <w:p w14:paraId="60DA28E9" w14:textId="77777777" w:rsidR="00940A48" w:rsidRDefault="00000000">
      <w:r>
        <w:br w:type="page"/>
      </w:r>
    </w:p>
    <w:p w14:paraId="2C606D3B" w14:textId="77777777" w:rsidR="00940A48" w:rsidRDefault="00000000">
      <w:pPr>
        <w:pStyle w:val="1"/>
      </w:pPr>
      <w:r>
        <w:lastRenderedPageBreak/>
        <w:t>6. Самостоятельная работа и самопроверка</w:t>
      </w:r>
    </w:p>
    <w:p w14:paraId="0A4B2A35" w14:textId="77777777" w:rsidR="00940A48" w:rsidRDefault="00000000">
      <w:pPr>
        <w:pStyle w:val="21"/>
      </w:pPr>
      <w:r>
        <w:t>Задание: архитектура без лишней сложности</w:t>
      </w:r>
    </w:p>
    <w:p w14:paraId="009EE875" w14:textId="77777777" w:rsidR="00940A48" w:rsidRDefault="00000000">
      <w:r>
        <w:t>Опишите пять логических частей учебного сервиса и их взаимодействие в таблице. Выделите источник действительного состояния, внешнюю зависимость и данные, которые не следует собирать. Подготовьте один ADR с двумя альтернативами и критериями пересмотра.</w:t>
      </w:r>
    </w:p>
    <w:p w14:paraId="6B4882A1" w14:textId="77777777" w:rsidR="00940A48" w:rsidRDefault="00000000">
      <w:r>
        <w:t>Для бронирования или уведомления составьте контракт из пяти полей и четыре сценария: обычный успех, повтор, задержка и частичный отказ. Укажите, что должен увидеть пользователь и что — поддержка. Сопоставьте свой выбор с кейсом Segment, отметив границу аналогии. Объем — 3–4 страницы; программирование необязательно.</w:t>
      </w:r>
    </w:p>
    <w:p w14:paraId="57C8482F" w14:textId="77777777" w:rsidR="00940A48" w:rsidRDefault="00000000">
      <w:pPr>
        <w:pStyle w:val="21"/>
      </w:pPr>
      <w:r>
        <w:t>Критерии оценивания: 100 баллов</w:t>
      </w:r>
    </w:p>
    <w:p w14:paraId="39861575" w14:textId="77777777" w:rsidR="00940A48" w:rsidRDefault="00000000">
      <w:r>
        <w:t>Связь архитектуры с задачей — 25; ясность данных и ответственности — 20; анализ ошибок — 25; качество ADR — 20; корректность источников и ограничений — 10.</w:t>
      </w:r>
    </w:p>
    <w:p w14:paraId="67F1EFEF" w14:textId="77777777" w:rsidR="00940A48" w:rsidRDefault="00000000">
      <w:pPr>
        <w:pStyle w:val="21"/>
      </w:pPr>
      <w:r>
        <w:t>Вопросы с ответами-ориентирами</w:t>
      </w:r>
    </w:p>
    <w:p w14:paraId="478E9A23" w14:textId="77777777" w:rsidR="00940A48" w:rsidRDefault="00000000">
      <w:r>
        <w:t>1. Обязан ли руководитель выбрать технологию лично? Ориентир: нет; он должен обеспечить экспертизу и понимание последствий.</w:t>
      </w:r>
    </w:p>
    <w:p w14:paraId="44BC0349" w14:textId="77777777" w:rsidR="00940A48" w:rsidRDefault="00000000">
      <w:r>
        <w:t>2. Почему множество сервисов не гарантирует модульность? Ориентир: логические зависимости могут сохраняться независимо от числа развертываний.</w:t>
      </w:r>
    </w:p>
    <w:p w14:paraId="7BD6E7CD" w14:textId="77777777" w:rsidR="00940A48" w:rsidRDefault="00000000">
      <w:r>
        <w:t>3. Зачем проверять повторный запрос? Ориентир: связь может прерваться после успешного действия, и повтор не должен дублировать эффект.</w:t>
      </w:r>
    </w:p>
    <w:p w14:paraId="7E878CF8" w14:textId="77777777" w:rsidR="00940A48" w:rsidRDefault="00000000">
      <w:r>
        <w:t>4. Что сохраняет ADR после изменения архитектуры? Ориентир: контекст и основания прежнего решения, полезные для дальнейшей работы.</w:t>
      </w:r>
    </w:p>
    <w:p w14:paraId="3137FCB5" w14:textId="77777777" w:rsidR="00940A48" w:rsidRDefault="00000000">
      <w:pPr>
        <w:pStyle w:val="Callout"/>
        <w:pBdr>
          <w:left w:val="single" w:sz="16" w:space="8" w:color="246A73"/>
        </w:pBdr>
        <w:shd w:val="clear" w:color="auto" w:fill="EDF4F5"/>
      </w:pPr>
      <w:r>
        <w:t>В техническом описании должны быть понятны не только счастливый путь, но и состояние пользователя при недоступности внешней части.</w:t>
      </w:r>
    </w:p>
    <w:p w14:paraId="4BE673E9" w14:textId="77777777" w:rsidR="00940A48" w:rsidRDefault="00000000">
      <w:r>
        <w:br w:type="page"/>
      </w:r>
    </w:p>
    <w:p w14:paraId="62F98869" w14:textId="77777777" w:rsidR="00940A48" w:rsidRDefault="00000000">
      <w:pPr>
        <w:pStyle w:val="1"/>
      </w:pPr>
      <w:r>
        <w:lastRenderedPageBreak/>
        <w:t>Итоги, понятия и источники</w:t>
      </w:r>
    </w:p>
    <w:p w14:paraId="19F30B06" w14:textId="77777777" w:rsidR="00940A48" w:rsidRDefault="00000000">
      <w:r>
        <w:t>Архитектура связывает требования с устройством системы и способностью команды ее поддерживать. Кейс Segment показывает необходимость учитывать изоляцию отказов вместе со стоимостью сопровождения. Контракт данных, сценарии частичных ошибок и ADR позволяют обсуждать технические решения на управленческом уровне без подмены инженерной экспертизы.</w:t>
      </w:r>
    </w:p>
    <w:p w14:paraId="1BFAA7B8" w14:textId="77777777" w:rsidR="00940A48" w:rsidRDefault="00000000">
      <w:pPr>
        <w:pStyle w:val="21"/>
      </w:pPr>
      <w:r>
        <w:t>Мини-глоссарий</w:t>
      </w:r>
    </w:p>
    <w:p w14:paraId="7A00FCB5" w14:textId="77777777" w:rsidR="00940A48" w:rsidRDefault="00000000">
      <w:pPr>
        <w:spacing w:after="80"/>
      </w:pPr>
      <w:r>
        <w:rPr>
          <w:b/>
        </w:rPr>
        <w:t>Архитектура.</w:t>
      </w:r>
      <w:r>
        <w:t xml:space="preserve"> Организация частей системы, связей и значимых технических решений.</w:t>
      </w:r>
    </w:p>
    <w:p w14:paraId="12EB94CE" w14:textId="77777777" w:rsidR="00940A48" w:rsidRDefault="00000000">
      <w:pPr>
        <w:spacing w:after="80"/>
      </w:pPr>
      <w:r>
        <w:rPr>
          <w:b/>
        </w:rPr>
        <w:t>API.</w:t>
      </w:r>
      <w:r>
        <w:t xml:space="preserve"> Согласованный программный интерфейс взаимодействия.</w:t>
      </w:r>
    </w:p>
    <w:p w14:paraId="72B86FC9" w14:textId="77777777" w:rsidR="00940A48" w:rsidRDefault="00000000">
      <w:pPr>
        <w:spacing w:after="80"/>
      </w:pPr>
      <w:r>
        <w:rPr>
          <w:b/>
        </w:rPr>
        <w:t>Монолит.</w:t>
      </w:r>
      <w:r>
        <w:t xml:space="preserve"> Приложение, обычно выпускаемое и развертываемое как единое целое.</w:t>
      </w:r>
    </w:p>
    <w:p w14:paraId="28A560C4" w14:textId="77777777" w:rsidR="00940A48" w:rsidRDefault="00000000">
      <w:pPr>
        <w:spacing w:after="80"/>
      </w:pPr>
      <w:r>
        <w:rPr>
          <w:b/>
        </w:rPr>
        <w:t>Микросервис.</w:t>
      </w:r>
      <w:r>
        <w:t xml:space="preserve"> Отдельно взаимодействующий сервис с определенной ответственностью.</w:t>
      </w:r>
    </w:p>
    <w:p w14:paraId="6B7E04A9" w14:textId="77777777" w:rsidR="00940A48" w:rsidRDefault="00000000">
      <w:pPr>
        <w:spacing w:after="80"/>
      </w:pPr>
      <w:r>
        <w:rPr>
          <w:b/>
        </w:rPr>
        <w:t>Идемпотентность.</w:t>
      </w:r>
      <w:r>
        <w:t xml:space="preserve"> Отсутствие повторного эффекта при соответствующем повторе запроса.</w:t>
      </w:r>
    </w:p>
    <w:p w14:paraId="5C85AFD8" w14:textId="77777777" w:rsidR="00940A48" w:rsidRDefault="00000000">
      <w:pPr>
        <w:spacing w:after="80"/>
      </w:pPr>
      <w:r>
        <w:rPr>
          <w:b/>
        </w:rPr>
        <w:t>ADR.</w:t>
      </w:r>
      <w:r>
        <w:t xml:space="preserve"> Короткая запись архитектурного решения и его последствий.</w:t>
      </w:r>
    </w:p>
    <w:p w14:paraId="0FB7D367" w14:textId="77777777" w:rsidR="00940A48" w:rsidRDefault="00000000">
      <w:pPr>
        <w:pStyle w:val="21"/>
      </w:pPr>
      <w:r>
        <w:t>Источники и практическое чтение</w:t>
      </w:r>
    </w:p>
    <w:p w14:paraId="1A35D968" w14:textId="02EF10FE" w:rsidR="00940A48" w:rsidRDefault="00000000">
      <w:pPr>
        <w:spacing w:line="252" w:lineRule="auto"/>
      </w:pPr>
      <w:r>
        <w:rPr>
          <w:rFonts w:ascii="Arial" w:eastAsia="Arial" w:hAnsi="Arial" w:cs="Arial"/>
          <w:color w:val="19354A"/>
          <w:sz w:val="21"/>
        </w:rPr>
        <w:t xml:space="preserve">[1] </w:t>
      </w:r>
      <w:hyperlink r:id="rId8">
        <w:proofErr w:type="spellStart"/>
        <w:r>
          <w:rPr>
            <w:rFonts w:ascii="Arial" w:hAnsi="Arial"/>
            <w:color w:val="246A73"/>
            <w:sz w:val="21"/>
            <w:u w:val="single"/>
          </w:rPr>
          <w:t>Alexandra</w:t>
        </w:r>
        <w:proofErr w:type="spellEnd"/>
        <w:r>
          <w:rPr>
            <w:rFonts w:ascii="Arial" w:hAnsi="Arial"/>
            <w:color w:val="246A73"/>
            <w:sz w:val="21"/>
            <w:u w:val="single"/>
          </w:rPr>
          <w:t xml:space="preserve"> </w:t>
        </w:r>
        <w:proofErr w:type="spellStart"/>
        <w:r>
          <w:rPr>
            <w:rFonts w:ascii="Arial" w:hAnsi="Arial"/>
            <w:color w:val="246A73"/>
            <w:sz w:val="21"/>
            <w:u w:val="single"/>
          </w:rPr>
          <w:t>Noonan</w:t>
        </w:r>
        <w:proofErr w:type="spellEnd"/>
        <w:r>
          <w:rPr>
            <w:rFonts w:ascii="Arial" w:hAnsi="Arial"/>
            <w:color w:val="246A73"/>
            <w:sz w:val="21"/>
            <w:u w:val="single"/>
          </w:rPr>
          <w:t xml:space="preserve"> / </w:t>
        </w:r>
        <w:proofErr w:type="spellStart"/>
        <w:r>
          <w:rPr>
            <w:rFonts w:ascii="Arial" w:hAnsi="Arial"/>
            <w:color w:val="246A73"/>
            <w:sz w:val="21"/>
            <w:u w:val="single"/>
          </w:rPr>
          <w:t>Segment</w:t>
        </w:r>
        <w:proofErr w:type="spellEnd"/>
        <w:r>
          <w:rPr>
            <w:rFonts w:ascii="Arial" w:hAnsi="Arial"/>
            <w:color w:val="246A73"/>
            <w:sz w:val="21"/>
            <w:u w:val="single"/>
          </w:rPr>
          <w:t>. Goodbye Microservices. 10.07.2018.</w:t>
        </w:r>
      </w:hyperlink>
      <w:r>
        <w:rPr>
          <w:rFonts w:ascii="Arial" w:eastAsia="Arial" w:hAnsi="Arial" w:cs="Arial"/>
          <w:color w:val="596772"/>
          <w:sz w:val="20"/>
        </w:rPr>
        <w:t xml:space="preserve"> </w:t>
      </w:r>
    </w:p>
    <w:p w14:paraId="2D68EF0C" w14:textId="324E5A68" w:rsidR="00940A48" w:rsidRDefault="00000000" w:rsidP="002B4A3B">
      <w:pPr>
        <w:spacing w:line="252" w:lineRule="auto"/>
      </w:pPr>
      <w:r>
        <w:rPr>
          <w:rFonts w:ascii="Arial" w:eastAsia="Arial" w:hAnsi="Arial" w:cs="Arial"/>
          <w:color w:val="19354A"/>
          <w:sz w:val="21"/>
        </w:rPr>
        <w:t xml:space="preserve">[2] </w:t>
      </w:r>
      <w:hyperlink r:id="rId9">
        <w:r>
          <w:rPr>
            <w:rFonts w:ascii="Arial" w:hAnsi="Arial"/>
            <w:color w:val="246A73"/>
            <w:sz w:val="21"/>
            <w:u w:val="single"/>
          </w:rPr>
          <w:t xml:space="preserve">Michael </w:t>
        </w:r>
        <w:proofErr w:type="spellStart"/>
        <w:r>
          <w:rPr>
            <w:rFonts w:ascii="Arial" w:hAnsi="Arial"/>
            <w:color w:val="246A73"/>
            <w:sz w:val="21"/>
            <w:u w:val="single"/>
          </w:rPr>
          <w:t>Nygard</w:t>
        </w:r>
        <w:proofErr w:type="spellEnd"/>
        <w:r>
          <w:rPr>
            <w:rFonts w:ascii="Arial" w:hAnsi="Arial"/>
            <w:color w:val="246A73"/>
            <w:sz w:val="21"/>
            <w:u w:val="single"/>
          </w:rPr>
          <w:t>. Documenting Architecture Decisions. 15.11.2011.</w:t>
        </w:r>
      </w:hyperlink>
    </w:p>
    <w:sectPr w:rsidR="00940A48" w:rsidSect="00034616">
      <w:headerReference w:type="default" r:id="rId10"/>
      <w:footerReference w:type="default" r:id="rId11"/>
      <w:pgSz w:w="11906" w:h="16838"/>
      <w:pgMar w:top="1162" w:right="1191" w:bottom="1077" w:left="1191" w:header="510" w:footer="48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6B2844" w14:textId="77777777" w:rsidR="0036382E" w:rsidRDefault="0036382E">
      <w:pPr>
        <w:spacing w:after="0" w:line="240" w:lineRule="auto"/>
      </w:pPr>
      <w:r>
        <w:separator/>
      </w:r>
    </w:p>
  </w:endnote>
  <w:endnote w:type="continuationSeparator" w:id="0">
    <w:p w14:paraId="768D2859" w14:textId="77777777" w:rsidR="0036382E" w:rsidRDefault="003638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BFFC6F" w14:textId="34CD7F56" w:rsidR="00940A48" w:rsidRDefault="00940A48">
    <w:pPr>
      <w:tabs>
        <w:tab w:val="right" w:pos="9524"/>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E88271" w14:textId="77777777" w:rsidR="0036382E" w:rsidRDefault="0036382E">
      <w:pPr>
        <w:spacing w:after="0" w:line="240" w:lineRule="auto"/>
      </w:pPr>
      <w:r>
        <w:separator/>
      </w:r>
    </w:p>
  </w:footnote>
  <w:footnote w:type="continuationSeparator" w:id="0">
    <w:p w14:paraId="2225F37D" w14:textId="77777777" w:rsidR="0036382E" w:rsidRDefault="0036382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DD1D80" w14:textId="7C752305" w:rsidR="00940A48" w:rsidRDefault="00940A48">
    <w:pPr>
      <w:pBdr>
        <w:bottom w:val="single" w:sz="4" w:space="0" w:color="D6DFE4"/>
      </w:pBdr>
      <w:tabs>
        <w:tab w:val="right" w:pos="9524"/>
      </w:tabs>
      <w:spacing w:after="10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1491368778">
    <w:abstractNumId w:val="8"/>
  </w:num>
  <w:num w:numId="2" w16cid:durableId="597100480">
    <w:abstractNumId w:val="6"/>
  </w:num>
  <w:num w:numId="3" w16cid:durableId="55014585">
    <w:abstractNumId w:val="5"/>
  </w:num>
  <w:num w:numId="4" w16cid:durableId="988829097">
    <w:abstractNumId w:val="4"/>
  </w:num>
  <w:num w:numId="5" w16cid:durableId="1027483011">
    <w:abstractNumId w:val="7"/>
  </w:num>
  <w:num w:numId="6" w16cid:durableId="1956058552">
    <w:abstractNumId w:val="3"/>
  </w:num>
  <w:num w:numId="7" w16cid:durableId="296765304">
    <w:abstractNumId w:val="2"/>
  </w:num>
  <w:num w:numId="8" w16cid:durableId="931427277">
    <w:abstractNumId w:val="1"/>
  </w:num>
  <w:num w:numId="9" w16cid:durableId="5332706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2B4A3B"/>
    <w:rsid w:val="00326F90"/>
    <w:rsid w:val="0036382E"/>
    <w:rsid w:val="003847DE"/>
    <w:rsid w:val="00940A48"/>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3D7FFD5"/>
  <w14:defaultImageDpi w14:val="300"/>
  <w15:docId w15:val="{94E6263C-DF55-4BD9-91CF-B534C274A3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pPr>
      <w:spacing w:after="140" w:line="278" w:lineRule="auto"/>
    </w:pPr>
    <w:rPr>
      <w:rFonts w:ascii="Times New Roman" w:hAnsi="Times New Roman" w:cs="Times New Roman"/>
      <w:sz w:val="25"/>
      <w:lang w:val="ru-RU"/>
    </w:rPr>
  </w:style>
  <w:style w:type="paragraph" w:styleId="1">
    <w:name w:val="heading 1"/>
    <w:basedOn w:val="a1"/>
    <w:next w:val="a1"/>
    <w:link w:val="10"/>
    <w:uiPriority w:val="9"/>
    <w:qFormat/>
    <w:rsid w:val="00FC693F"/>
    <w:pPr>
      <w:keepNext/>
      <w:keepLines/>
      <w:spacing w:after="160" w:line="252" w:lineRule="auto"/>
      <w:outlineLvl w:val="0"/>
    </w:pPr>
    <w:rPr>
      <w:rFonts w:asciiTheme="majorHAnsi" w:eastAsiaTheme="majorEastAsia" w:hAnsiTheme="majorHAnsi" w:cstheme="majorBidi"/>
      <w:b/>
      <w:bCs/>
      <w:color w:val="19354A"/>
      <w:sz w:val="34"/>
      <w:szCs w:val="28"/>
    </w:rPr>
  </w:style>
  <w:style w:type="paragraph" w:styleId="21">
    <w:name w:val="heading 2"/>
    <w:basedOn w:val="a1"/>
    <w:next w:val="a1"/>
    <w:link w:val="22"/>
    <w:uiPriority w:val="9"/>
    <w:unhideWhenUsed/>
    <w:qFormat/>
    <w:rsid w:val="00FC693F"/>
    <w:pPr>
      <w:keepNext/>
      <w:keepLines/>
      <w:spacing w:before="140" w:after="160" w:line="252" w:lineRule="auto"/>
      <w:outlineLvl w:val="1"/>
    </w:pPr>
    <w:rPr>
      <w:rFonts w:asciiTheme="majorHAnsi" w:eastAsiaTheme="majorEastAsia" w:hAnsiTheme="majorHAnsi" w:cstheme="majorBidi"/>
      <w:b/>
      <w:bCs/>
      <w:color w:val="246A73"/>
      <w:sz w:val="24"/>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keepNext/>
      <w:pBdr>
        <w:bottom w:val="single" w:sz="8" w:space="4" w:color="4F81BD" w:themeColor="accent1"/>
      </w:pBdr>
      <w:spacing w:after="160" w:line="252" w:lineRule="auto"/>
      <w:contextualSpacing/>
    </w:pPr>
    <w:rPr>
      <w:rFonts w:asciiTheme="majorHAnsi" w:eastAsiaTheme="majorEastAsia" w:hAnsiTheme="majorHAnsi" w:cstheme="majorBidi"/>
      <w:b/>
      <w:color w:val="19354A"/>
      <w:spacing w:val="5"/>
      <w:kern w:val="28"/>
      <w:sz w:val="42"/>
      <w:szCs w:val="52"/>
    </w:rPr>
  </w:style>
  <w:style w:type="character" w:customStyle="1" w:styleId="ab">
    <w:name w:val="Заголовок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Callout">
    <w:name w:val="Callout"/>
    <w:basedOn w:val="a1"/>
    <w:pPr>
      <w:keepLines/>
      <w:spacing w:before="100" w:after="180" w:line="264" w:lineRule="auto"/>
      <w:ind w:left="142" w:right="85"/>
    </w:pPr>
    <w:rPr>
      <w:rFonts w:ascii="Arial" w:hAnsi="Arial" w:cs="Arial"/>
      <w:color w:val="19354A"/>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wilio.com/en-us/blog/developers/best-practices/goodbye-microservices"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cognitect.com/blog/2011/11/15/documenting-architecture-decision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1680</Words>
  <Characters>9579</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11237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Технические решения: архитектура, интеграции и данные</dc:title>
  <dc:subject>Управление цифровыми проектами — лекция 9</dc:subject>
  <dc:creator>Учебные материалы</dc:creator>
  <cp:keywords>цифровой проект; бакалавриат; дистанционное обучение; кейсы</cp:keywords>
  <dc:description>generated by python-docx</dc:description>
  <cp:lastModifiedBy>Mikhail Sizov</cp:lastModifiedBy>
  <cp:revision>3</cp:revision>
  <dcterms:created xsi:type="dcterms:W3CDTF">2013-12-23T23:15:00Z</dcterms:created>
  <dcterms:modified xsi:type="dcterms:W3CDTF">2026-09-28T15:04:00Z</dcterms:modified>
  <cp:category/>
  <dc:language>ru-RU</dc:language>
</cp:coreProperties>
</file>